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7E2FB" w14:textId="77777777" w:rsidR="00860F5E" w:rsidRPr="006477F3" w:rsidRDefault="00860F5E" w:rsidP="005835E0">
      <w:pPr>
        <w:pStyle w:val="Nessunaspaziatura"/>
        <w:rPr>
          <w:rFonts w:asciiTheme="majorHAnsi" w:eastAsia="Times New Roman" w:hAnsiTheme="majorHAnsi" w:cstheme="majorHAnsi"/>
          <w:lang w:eastAsia="zh-CN"/>
        </w:rPr>
      </w:pPr>
    </w:p>
    <w:p w14:paraId="748BB0D8" w14:textId="7BAC7650" w:rsidR="00774B26" w:rsidRPr="006477F3" w:rsidRDefault="00F120B2" w:rsidP="00D41487">
      <w:pPr>
        <w:spacing w:before="127" w:line="357" w:lineRule="auto"/>
        <w:ind w:right="89"/>
        <w:jc w:val="both"/>
        <w:rPr>
          <w:rFonts w:asciiTheme="majorHAnsi" w:hAnsiTheme="majorHAnsi" w:cstheme="majorHAnsi"/>
          <w:b/>
          <w:bCs/>
        </w:rPr>
      </w:pPr>
      <w:r w:rsidRPr="006477F3">
        <w:rPr>
          <w:rFonts w:asciiTheme="majorHAnsi" w:eastAsia="Times New Roman" w:hAnsiTheme="majorHAnsi" w:cstheme="majorHAnsi"/>
          <w:b/>
          <w:bCs/>
          <w:lang w:eastAsia="zh-CN"/>
        </w:rPr>
        <w:t xml:space="preserve">INVITO ALLA </w:t>
      </w:r>
      <w:r w:rsidR="00774B26" w:rsidRPr="006477F3">
        <w:rPr>
          <w:rFonts w:asciiTheme="majorHAnsi" w:hAnsiTheme="majorHAnsi" w:cstheme="majorHAnsi"/>
          <w:b/>
          <w:bCs/>
        </w:rPr>
        <w:t>PROCEDURA NEGOZIATA</w:t>
      </w:r>
      <w:r w:rsidRPr="006477F3">
        <w:rPr>
          <w:rFonts w:asciiTheme="majorHAnsi" w:hAnsiTheme="majorHAnsi" w:cstheme="majorHAnsi"/>
          <w:b/>
          <w:bCs/>
        </w:rPr>
        <w:t xml:space="preserve">, AI SENSI DELL’ART. 50, COMMA 1, LETTERA </w:t>
      </w:r>
      <w:r w:rsidR="00C91178" w:rsidRPr="006477F3">
        <w:rPr>
          <w:rFonts w:asciiTheme="majorHAnsi" w:hAnsiTheme="majorHAnsi" w:cstheme="majorHAnsi"/>
          <w:b/>
          <w:bCs/>
        </w:rPr>
        <w:t>E</w:t>
      </w:r>
      <w:r w:rsidRPr="006477F3">
        <w:rPr>
          <w:rFonts w:asciiTheme="majorHAnsi" w:hAnsiTheme="majorHAnsi" w:cstheme="majorHAnsi"/>
          <w:b/>
          <w:bCs/>
        </w:rPr>
        <w:t xml:space="preserve">), DEL D. LGS. 36/2023, </w:t>
      </w:r>
      <w:bookmarkStart w:id="0" w:name="_Hlk195188221"/>
      <w:r w:rsidR="00DB09C5" w:rsidRPr="006477F3">
        <w:rPr>
          <w:rFonts w:asciiTheme="majorHAnsi" w:hAnsiTheme="majorHAnsi" w:cstheme="majorHAnsi"/>
          <w:b/>
          <w:bCs/>
        </w:rPr>
        <w:t>PER L’AFFIDAMENTO IN APPALTO DELLA GESTIONE DELL’ASILO NIDO DI QUATTROCASE, NEL COMUNE DI CASALMAGGIORE</w:t>
      </w:r>
      <w:bookmarkEnd w:id="0"/>
    </w:p>
    <w:p w14:paraId="2F3F073D" w14:textId="77777777" w:rsidR="00F120B2" w:rsidRPr="006477F3" w:rsidRDefault="00F120B2" w:rsidP="00774B26">
      <w:pPr>
        <w:spacing w:before="127" w:line="357" w:lineRule="auto"/>
        <w:ind w:right="89"/>
        <w:jc w:val="center"/>
        <w:rPr>
          <w:rFonts w:asciiTheme="majorHAnsi" w:hAnsiTheme="majorHAnsi" w:cstheme="majorHAnsi"/>
          <w:b/>
          <w:bCs/>
        </w:rPr>
      </w:pPr>
    </w:p>
    <w:p w14:paraId="2E0C4FCC" w14:textId="0E4CB804" w:rsidR="00774B26" w:rsidRPr="006477F3" w:rsidRDefault="00F120B2" w:rsidP="00774B26">
      <w:pPr>
        <w:spacing w:before="4"/>
        <w:ind w:right="89"/>
        <w:jc w:val="center"/>
        <w:rPr>
          <w:rFonts w:asciiTheme="majorHAnsi" w:hAnsiTheme="majorHAnsi" w:cstheme="majorHAnsi"/>
          <w:b/>
          <w:bCs/>
        </w:rPr>
      </w:pPr>
      <w:r w:rsidRPr="006477F3">
        <w:rPr>
          <w:rFonts w:asciiTheme="majorHAnsi" w:hAnsiTheme="majorHAnsi" w:cstheme="majorHAnsi"/>
          <w:b/>
          <w:bCs/>
          <w:u w:val="single"/>
        </w:rPr>
        <w:t>PROCEDURA INTERAMENTE SVOLTA</w:t>
      </w:r>
      <w:r w:rsidR="00C91178" w:rsidRPr="006477F3">
        <w:rPr>
          <w:rFonts w:asciiTheme="majorHAnsi" w:hAnsiTheme="majorHAnsi" w:cstheme="majorHAnsi"/>
          <w:b/>
          <w:bCs/>
          <w:u w:val="single"/>
        </w:rPr>
        <w:t xml:space="preserve"> IN MODALITA’ TELEMATICA</w:t>
      </w:r>
      <w:r w:rsidRPr="006477F3">
        <w:rPr>
          <w:rFonts w:asciiTheme="majorHAnsi" w:hAnsiTheme="majorHAnsi" w:cstheme="majorHAnsi"/>
          <w:b/>
          <w:bCs/>
          <w:u w:val="single"/>
        </w:rPr>
        <w:t xml:space="preserve"> </w:t>
      </w:r>
      <w:r w:rsidR="00774B26" w:rsidRPr="006477F3">
        <w:rPr>
          <w:rFonts w:asciiTheme="majorHAnsi" w:hAnsiTheme="majorHAnsi" w:cstheme="majorHAnsi"/>
          <w:b/>
          <w:bCs/>
          <w:u w:val="single"/>
        </w:rPr>
        <w:t>SU</w:t>
      </w:r>
      <w:r w:rsidRPr="006477F3">
        <w:rPr>
          <w:rFonts w:asciiTheme="majorHAnsi" w:hAnsiTheme="majorHAnsi" w:cstheme="majorHAnsi"/>
          <w:b/>
          <w:bCs/>
          <w:u w:val="single"/>
        </w:rPr>
        <w:t>LLA</w:t>
      </w:r>
      <w:r w:rsidR="00774B26" w:rsidRPr="006477F3">
        <w:rPr>
          <w:rFonts w:asciiTheme="majorHAnsi" w:hAnsiTheme="majorHAnsi" w:cstheme="majorHAnsi"/>
          <w:b/>
          <w:bCs/>
          <w:spacing w:val="-4"/>
          <w:u w:val="single"/>
        </w:rPr>
        <w:t xml:space="preserve"> </w:t>
      </w:r>
      <w:r w:rsidR="00774B26" w:rsidRPr="006477F3">
        <w:rPr>
          <w:rFonts w:asciiTheme="majorHAnsi" w:hAnsiTheme="majorHAnsi" w:cstheme="majorHAnsi"/>
          <w:b/>
          <w:bCs/>
          <w:u w:val="single"/>
        </w:rPr>
        <w:t>PIATTAFORMA</w:t>
      </w:r>
      <w:r w:rsidR="00774B26" w:rsidRPr="006477F3">
        <w:rPr>
          <w:rFonts w:asciiTheme="majorHAnsi" w:hAnsiTheme="majorHAnsi" w:cstheme="majorHAnsi"/>
          <w:b/>
          <w:bCs/>
          <w:spacing w:val="-2"/>
          <w:u w:val="single"/>
        </w:rPr>
        <w:t xml:space="preserve"> </w:t>
      </w:r>
      <w:r w:rsidR="00774B26" w:rsidRPr="006477F3">
        <w:rPr>
          <w:rFonts w:asciiTheme="majorHAnsi" w:hAnsiTheme="majorHAnsi" w:cstheme="majorHAnsi"/>
          <w:b/>
          <w:bCs/>
          <w:u w:val="single"/>
        </w:rPr>
        <w:t>SINTEL</w:t>
      </w:r>
      <w:r w:rsidR="00774B26" w:rsidRPr="006477F3">
        <w:rPr>
          <w:rFonts w:asciiTheme="majorHAnsi" w:hAnsiTheme="majorHAnsi" w:cstheme="majorHAnsi"/>
          <w:b/>
          <w:bCs/>
          <w:spacing w:val="-2"/>
          <w:u w:val="single"/>
        </w:rPr>
        <w:t xml:space="preserve"> </w:t>
      </w:r>
      <w:r w:rsidR="00774B26" w:rsidRPr="006477F3">
        <w:rPr>
          <w:rFonts w:asciiTheme="majorHAnsi" w:hAnsiTheme="majorHAnsi" w:cstheme="majorHAnsi"/>
          <w:b/>
          <w:bCs/>
          <w:u w:val="single"/>
        </w:rPr>
        <w:t>DI</w:t>
      </w:r>
      <w:r w:rsidR="00774B26" w:rsidRPr="006477F3">
        <w:rPr>
          <w:rFonts w:asciiTheme="majorHAnsi" w:hAnsiTheme="majorHAnsi" w:cstheme="majorHAnsi"/>
          <w:b/>
          <w:bCs/>
          <w:spacing w:val="-4"/>
          <w:u w:val="single"/>
        </w:rPr>
        <w:t xml:space="preserve"> </w:t>
      </w:r>
      <w:r w:rsidR="00774B26" w:rsidRPr="006477F3">
        <w:rPr>
          <w:rFonts w:asciiTheme="majorHAnsi" w:hAnsiTheme="majorHAnsi" w:cstheme="majorHAnsi"/>
          <w:b/>
          <w:bCs/>
          <w:u w:val="single"/>
        </w:rPr>
        <w:t>ARIA</w:t>
      </w:r>
      <w:r w:rsidR="00774B26" w:rsidRPr="006477F3">
        <w:rPr>
          <w:rFonts w:asciiTheme="majorHAnsi" w:hAnsiTheme="majorHAnsi" w:cstheme="majorHAnsi"/>
          <w:b/>
          <w:bCs/>
          <w:spacing w:val="-2"/>
          <w:u w:val="single"/>
        </w:rPr>
        <w:t xml:space="preserve"> </w:t>
      </w:r>
      <w:r w:rsidR="00774B26" w:rsidRPr="006477F3">
        <w:rPr>
          <w:rFonts w:asciiTheme="majorHAnsi" w:hAnsiTheme="majorHAnsi" w:cstheme="majorHAnsi"/>
          <w:b/>
          <w:bCs/>
          <w:u w:val="single"/>
        </w:rPr>
        <w:t>REGIONE</w:t>
      </w:r>
      <w:r w:rsidR="00774B26" w:rsidRPr="006477F3">
        <w:rPr>
          <w:rFonts w:asciiTheme="majorHAnsi" w:hAnsiTheme="majorHAnsi" w:cstheme="majorHAnsi"/>
          <w:b/>
          <w:bCs/>
          <w:spacing w:val="-2"/>
          <w:u w:val="single"/>
        </w:rPr>
        <w:t xml:space="preserve"> LOMBARDIA</w:t>
      </w:r>
      <w:r w:rsidR="00774B26" w:rsidRPr="006477F3">
        <w:rPr>
          <w:rFonts w:asciiTheme="majorHAnsi" w:hAnsiTheme="majorHAnsi" w:cstheme="majorHAnsi"/>
          <w:b/>
          <w:bCs/>
          <w:spacing w:val="40"/>
          <w:u w:val="single"/>
        </w:rPr>
        <w:t xml:space="preserve"> </w:t>
      </w:r>
    </w:p>
    <w:p w14:paraId="558E8D49" w14:textId="295E0C5E" w:rsidR="00026E29" w:rsidRPr="006477F3" w:rsidRDefault="00026E29" w:rsidP="005835E0">
      <w:pPr>
        <w:pStyle w:val="Nessunaspaziatura"/>
        <w:rPr>
          <w:rFonts w:asciiTheme="majorHAnsi" w:eastAsia="Times New Roman" w:hAnsiTheme="majorHAnsi" w:cstheme="majorHAnsi"/>
          <w:b/>
          <w:bCs/>
          <w:lang w:eastAsia="zh-CN"/>
        </w:rPr>
      </w:pPr>
    </w:p>
    <w:p w14:paraId="74AA05F4" w14:textId="77777777" w:rsidR="00774B26" w:rsidRPr="006477F3" w:rsidRDefault="00774B26" w:rsidP="005835E0">
      <w:pPr>
        <w:pStyle w:val="Nessunaspaziatura"/>
        <w:rPr>
          <w:rFonts w:asciiTheme="majorHAnsi" w:eastAsia="Times New Roman" w:hAnsiTheme="majorHAnsi" w:cstheme="majorHAnsi"/>
          <w:b/>
          <w:bCs/>
          <w:lang w:eastAsia="zh-CN"/>
        </w:rPr>
      </w:pPr>
    </w:p>
    <w:p w14:paraId="48347248" w14:textId="77777777" w:rsidR="00774B26" w:rsidRPr="006477F3" w:rsidRDefault="00774B26" w:rsidP="00DB09C5">
      <w:pPr>
        <w:spacing w:line="276" w:lineRule="auto"/>
        <w:rPr>
          <w:rFonts w:asciiTheme="majorHAnsi" w:hAnsiTheme="majorHAnsi" w:cstheme="majorHAnsi"/>
          <w:bCs/>
        </w:rPr>
      </w:pPr>
    </w:p>
    <w:p w14:paraId="1EE39F60" w14:textId="0C074C0E" w:rsidR="00774B26" w:rsidRPr="006477F3" w:rsidRDefault="00774B26" w:rsidP="00DB09C5">
      <w:pPr>
        <w:pStyle w:val="Nessunaspaziatura"/>
        <w:spacing w:line="276" w:lineRule="auto"/>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AMMINISTRAZIONE PROCEDENTE</w:t>
      </w:r>
    </w:p>
    <w:p w14:paraId="4C924D80" w14:textId="2953C6B6" w:rsidR="00774B26" w:rsidRPr="006477F3" w:rsidRDefault="00774B26" w:rsidP="00613EA3">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b/>
          <w:bCs/>
          <w:lang w:eastAsia="zh-CN"/>
        </w:rPr>
        <w:t xml:space="preserve">AFM Casalmaggiore s.r.l., </w:t>
      </w:r>
      <w:r w:rsidRPr="006477F3">
        <w:rPr>
          <w:rFonts w:asciiTheme="majorHAnsi" w:eastAsia="Times New Roman" w:hAnsiTheme="majorHAnsi" w:cstheme="majorHAnsi"/>
          <w:lang w:eastAsia="zh-CN"/>
        </w:rPr>
        <w:t>sede legale in p.zza Garibaldi, 8 – 26041 Casalmaggiore (CR).</w:t>
      </w:r>
    </w:p>
    <w:p w14:paraId="72F465F1" w14:textId="2AF9BABF" w:rsidR="00774B26" w:rsidRPr="006477F3" w:rsidRDefault="00774B26" w:rsidP="00613EA3">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Tel: 0375-42221</w:t>
      </w:r>
    </w:p>
    <w:p w14:paraId="73C71850" w14:textId="37EDC059" w:rsidR="00774B26" w:rsidRPr="006477F3" w:rsidRDefault="00774B26" w:rsidP="00613EA3">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Fax: 0375-42221</w:t>
      </w:r>
    </w:p>
    <w:p w14:paraId="078A1501" w14:textId="50DFCE58" w:rsidR="00774B26" w:rsidRPr="006477F3" w:rsidRDefault="00774B26" w:rsidP="00613EA3">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 xml:space="preserve">Indirizzo internet: </w:t>
      </w:r>
      <w:hyperlink r:id="rId9" w:history="1">
        <w:r w:rsidRPr="006477F3">
          <w:rPr>
            <w:rStyle w:val="Collegamentoipertestuale"/>
            <w:rFonts w:asciiTheme="majorHAnsi" w:eastAsia="Times New Roman" w:hAnsiTheme="majorHAnsi" w:cstheme="majorHAnsi"/>
            <w:lang w:eastAsia="zh-CN"/>
          </w:rPr>
          <w:t>www.afmcasalmaggiore.it</w:t>
        </w:r>
      </w:hyperlink>
    </w:p>
    <w:p w14:paraId="2BA4775E" w14:textId="7E73A048" w:rsidR="00774B26" w:rsidRPr="006477F3" w:rsidRDefault="00774B26" w:rsidP="00613EA3">
      <w:pPr>
        <w:pStyle w:val="Nessunaspaziatura"/>
        <w:spacing w:line="276" w:lineRule="auto"/>
        <w:jc w:val="both"/>
        <w:rPr>
          <w:rFonts w:asciiTheme="majorHAnsi" w:eastAsia="Times New Roman" w:hAnsiTheme="majorHAnsi" w:cstheme="majorHAnsi"/>
          <w:lang w:val="fr-FR" w:eastAsia="zh-CN"/>
        </w:rPr>
      </w:pPr>
      <w:proofErr w:type="gramStart"/>
      <w:r w:rsidRPr="006477F3">
        <w:rPr>
          <w:rFonts w:asciiTheme="majorHAnsi" w:eastAsia="Times New Roman" w:hAnsiTheme="majorHAnsi" w:cstheme="majorHAnsi"/>
          <w:lang w:val="fr-FR" w:eastAsia="zh-CN"/>
        </w:rPr>
        <w:t>Pec:</w:t>
      </w:r>
      <w:proofErr w:type="gramEnd"/>
      <w:r w:rsidRPr="006477F3">
        <w:rPr>
          <w:rFonts w:asciiTheme="majorHAnsi" w:eastAsia="Times New Roman" w:hAnsiTheme="majorHAnsi" w:cstheme="majorHAnsi"/>
          <w:lang w:val="fr-FR" w:eastAsia="zh-CN"/>
        </w:rPr>
        <w:t xml:space="preserve"> </w:t>
      </w:r>
      <w:hyperlink r:id="rId10" w:history="1">
        <w:r w:rsidRPr="006477F3">
          <w:rPr>
            <w:rStyle w:val="Collegamentoipertestuale"/>
            <w:rFonts w:asciiTheme="majorHAnsi" w:eastAsia="Times New Roman" w:hAnsiTheme="majorHAnsi" w:cstheme="majorHAnsi"/>
            <w:lang w:val="fr-FR" w:eastAsia="zh-CN"/>
          </w:rPr>
          <w:t>farmacia.casalmaggiore@legalmail.it</w:t>
        </w:r>
      </w:hyperlink>
    </w:p>
    <w:p w14:paraId="7059A9C2" w14:textId="42A16DA7" w:rsidR="00774B26" w:rsidRPr="006477F3" w:rsidRDefault="00774B26" w:rsidP="00613EA3">
      <w:pPr>
        <w:pStyle w:val="Nessunaspaziatura"/>
        <w:spacing w:line="276" w:lineRule="auto"/>
        <w:jc w:val="both"/>
        <w:rPr>
          <w:rFonts w:asciiTheme="majorHAnsi" w:eastAsia="Times New Roman" w:hAnsiTheme="majorHAnsi" w:cstheme="majorHAnsi"/>
          <w:lang w:val="fr-FR" w:eastAsia="zh-CN"/>
        </w:rPr>
      </w:pPr>
      <w:proofErr w:type="gramStart"/>
      <w:r w:rsidRPr="006477F3">
        <w:rPr>
          <w:rFonts w:asciiTheme="majorHAnsi" w:eastAsia="Times New Roman" w:hAnsiTheme="majorHAnsi" w:cstheme="majorHAnsi"/>
          <w:lang w:val="fr-FR" w:eastAsia="zh-CN"/>
        </w:rPr>
        <w:t>E-mail:</w:t>
      </w:r>
      <w:proofErr w:type="gramEnd"/>
      <w:r w:rsidRPr="006477F3">
        <w:rPr>
          <w:rFonts w:asciiTheme="majorHAnsi" w:eastAsia="Times New Roman" w:hAnsiTheme="majorHAnsi" w:cstheme="majorHAnsi"/>
          <w:lang w:val="fr-FR" w:eastAsia="zh-CN"/>
        </w:rPr>
        <w:t xml:space="preserve"> </w:t>
      </w:r>
      <w:hyperlink r:id="rId11" w:history="1">
        <w:r w:rsidRPr="006477F3">
          <w:rPr>
            <w:rStyle w:val="Collegamentoipertestuale"/>
            <w:rFonts w:asciiTheme="majorHAnsi" w:eastAsia="Times New Roman" w:hAnsiTheme="majorHAnsi" w:cstheme="majorHAnsi"/>
            <w:lang w:val="fr-FR" w:eastAsia="zh-CN"/>
          </w:rPr>
          <w:t>afm.casalmaggiore@gmail.com</w:t>
        </w:r>
      </w:hyperlink>
      <w:r w:rsidRPr="006477F3">
        <w:rPr>
          <w:rFonts w:asciiTheme="majorHAnsi" w:eastAsia="Times New Roman" w:hAnsiTheme="majorHAnsi" w:cstheme="majorHAnsi"/>
          <w:lang w:val="fr-FR" w:eastAsia="zh-CN"/>
        </w:rPr>
        <w:t>.</w:t>
      </w:r>
    </w:p>
    <w:p w14:paraId="60B3DF84" w14:textId="77777777" w:rsidR="00774B26" w:rsidRPr="006477F3" w:rsidRDefault="00774B26" w:rsidP="00613EA3">
      <w:pPr>
        <w:pStyle w:val="Nessunaspaziatura"/>
        <w:spacing w:line="276" w:lineRule="auto"/>
        <w:jc w:val="both"/>
        <w:rPr>
          <w:rFonts w:asciiTheme="majorHAnsi" w:eastAsia="Times New Roman" w:hAnsiTheme="majorHAnsi" w:cstheme="majorHAnsi"/>
          <w:lang w:val="fr-FR" w:eastAsia="zh-CN"/>
        </w:rPr>
      </w:pPr>
    </w:p>
    <w:p w14:paraId="71C08181" w14:textId="272D8052" w:rsidR="00191C5C" w:rsidRPr="006477F3" w:rsidRDefault="00191C5C" w:rsidP="00613EA3">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 xml:space="preserve">Il Responsabile Unico del Progetto, ai sensi dell’art. 15, del d. Lgs. 36/2023 è </w:t>
      </w:r>
      <w:r w:rsidR="00D41487" w:rsidRPr="006477F3">
        <w:rPr>
          <w:rFonts w:asciiTheme="majorHAnsi" w:eastAsia="Times New Roman" w:hAnsiTheme="majorHAnsi" w:cstheme="majorHAnsi"/>
          <w:lang w:eastAsia="zh-CN"/>
        </w:rPr>
        <w:t>Dott.ssa Chiara Sanfelici</w:t>
      </w:r>
      <w:r w:rsidRPr="006477F3">
        <w:rPr>
          <w:rFonts w:asciiTheme="majorHAnsi" w:eastAsia="Times New Roman" w:hAnsiTheme="majorHAnsi" w:cstheme="majorHAnsi"/>
          <w:lang w:eastAsia="zh-CN"/>
        </w:rPr>
        <w:t>.</w:t>
      </w:r>
      <w:r w:rsidR="005B7C7D">
        <w:rPr>
          <w:rFonts w:asciiTheme="majorHAnsi" w:eastAsia="Times New Roman" w:hAnsiTheme="majorHAnsi" w:cstheme="majorHAnsi"/>
          <w:lang w:eastAsia="zh-CN"/>
        </w:rPr>
        <w:t xml:space="preserve"> Tel. </w:t>
      </w:r>
      <w:r w:rsidR="005B7C7D" w:rsidRPr="005B7C7D">
        <w:rPr>
          <w:rFonts w:asciiTheme="majorHAnsi" w:eastAsia="Times New Roman" w:hAnsiTheme="majorHAnsi" w:cstheme="majorHAnsi"/>
          <w:lang w:eastAsia="zh-CN"/>
        </w:rPr>
        <w:t>0375.203325</w:t>
      </w:r>
      <w:r w:rsidR="005B7C7D">
        <w:rPr>
          <w:rFonts w:asciiTheme="majorHAnsi" w:eastAsia="Times New Roman" w:hAnsiTheme="majorHAnsi" w:cstheme="majorHAnsi"/>
          <w:lang w:eastAsia="zh-CN"/>
        </w:rPr>
        <w:t xml:space="preserve"> - e.mail: </w:t>
      </w:r>
      <w:r w:rsidR="005B7C7D" w:rsidRPr="005B7C7D">
        <w:rPr>
          <w:rFonts w:asciiTheme="majorHAnsi" w:eastAsia="Times New Roman" w:hAnsiTheme="majorHAnsi" w:cstheme="majorHAnsi"/>
          <w:lang w:eastAsia="zh-CN"/>
        </w:rPr>
        <w:t>c.sanfelici@comune.casalmaggiore.cr.it</w:t>
      </w:r>
      <w:r w:rsidR="005B7C7D">
        <w:rPr>
          <w:rFonts w:asciiTheme="majorHAnsi" w:eastAsia="Times New Roman" w:hAnsiTheme="majorHAnsi" w:cstheme="majorHAnsi"/>
          <w:lang w:eastAsia="zh-CN"/>
        </w:rPr>
        <w:t>.</w:t>
      </w:r>
    </w:p>
    <w:p w14:paraId="6C9E583C" w14:textId="40542EF9" w:rsidR="00191C5C" w:rsidRPr="006477F3" w:rsidRDefault="00191C5C" w:rsidP="00DB09C5">
      <w:pPr>
        <w:pStyle w:val="Nessunaspaziatura"/>
        <w:spacing w:line="276" w:lineRule="auto"/>
        <w:rPr>
          <w:rFonts w:asciiTheme="majorHAnsi" w:eastAsia="Times New Roman" w:hAnsiTheme="majorHAnsi" w:cstheme="majorHAnsi"/>
          <w:lang w:eastAsia="zh-CN"/>
        </w:rPr>
      </w:pPr>
    </w:p>
    <w:p w14:paraId="64184BFC" w14:textId="435B66CC" w:rsidR="00BE6DCE" w:rsidRPr="006477F3" w:rsidRDefault="00BE6DCE" w:rsidP="0048532C">
      <w:pPr>
        <w:pStyle w:val="Nessunaspaziatura"/>
        <w:spacing w:line="276" w:lineRule="auto"/>
        <w:jc w:val="both"/>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PREMESSE</w:t>
      </w:r>
    </w:p>
    <w:p w14:paraId="4C4C1315" w14:textId="14F288A9" w:rsidR="00BE6DCE" w:rsidRPr="006477F3" w:rsidRDefault="00BE6DCE" w:rsidP="00613EA3">
      <w:pPr>
        <w:pStyle w:val="Corpotesto"/>
        <w:spacing w:before="61"/>
        <w:ind w:left="0" w:right="-52"/>
        <w:rPr>
          <w:rFonts w:asciiTheme="majorHAnsi" w:hAnsiTheme="majorHAnsi" w:cstheme="majorHAnsi"/>
        </w:rPr>
      </w:pPr>
      <w:r w:rsidRPr="006477F3">
        <w:rPr>
          <w:rFonts w:asciiTheme="majorHAnsi" w:hAnsiTheme="majorHAnsi" w:cstheme="majorHAnsi"/>
          <w:color w:val="221F1F"/>
        </w:rPr>
        <w:t>Con</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deliberazione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a</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contrarre</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n</w:t>
      </w:r>
      <w:r w:rsidRPr="00543FD6">
        <w:rPr>
          <w:rFonts w:asciiTheme="majorHAnsi" w:hAnsiTheme="majorHAnsi" w:cstheme="majorHAnsi"/>
          <w:color w:val="221F1F"/>
        </w:rPr>
        <w:t>.</w:t>
      </w:r>
      <w:r w:rsidRPr="00543FD6">
        <w:rPr>
          <w:rFonts w:asciiTheme="majorHAnsi" w:hAnsiTheme="majorHAnsi" w:cstheme="majorHAnsi"/>
          <w:color w:val="221F1F"/>
          <w:spacing w:val="-8"/>
        </w:rPr>
        <w:t xml:space="preserve"> </w:t>
      </w:r>
      <w:r w:rsidR="00543FD6" w:rsidRPr="00543FD6">
        <w:rPr>
          <w:rFonts w:asciiTheme="majorHAnsi" w:hAnsiTheme="majorHAnsi" w:cstheme="majorHAnsi"/>
          <w:color w:val="221F1F"/>
        </w:rPr>
        <w:t xml:space="preserve">2 </w:t>
      </w:r>
      <w:r w:rsidRPr="00543FD6">
        <w:rPr>
          <w:rFonts w:asciiTheme="majorHAnsi" w:hAnsiTheme="majorHAnsi" w:cstheme="majorHAnsi"/>
          <w:color w:val="221F1F"/>
        </w:rPr>
        <w:t>del</w:t>
      </w:r>
      <w:r w:rsidRPr="00543FD6">
        <w:rPr>
          <w:rFonts w:asciiTheme="majorHAnsi" w:hAnsiTheme="majorHAnsi" w:cstheme="majorHAnsi"/>
          <w:color w:val="221F1F"/>
          <w:spacing w:val="-8"/>
        </w:rPr>
        <w:t xml:space="preserve"> </w:t>
      </w:r>
      <w:r w:rsidR="00543FD6" w:rsidRPr="00543FD6">
        <w:rPr>
          <w:rFonts w:asciiTheme="majorHAnsi" w:hAnsiTheme="majorHAnsi" w:cstheme="majorHAnsi"/>
          <w:color w:val="221F1F"/>
        </w:rPr>
        <w:t>04</w:t>
      </w:r>
      <w:r w:rsidRPr="00543FD6">
        <w:rPr>
          <w:rFonts w:asciiTheme="majorHAnsi" w:hAnsiTheme="majorHAnsi" w:cstheme="majorHAnsi"/>
          <w:color w:val="221F1F"/>
        </w:rPr>
        <w:t>.07.2025</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l’Azienda Farmaceutica Municipale, in avanti A.F.M., del Comune di Casalmaggiore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(CR) ha</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 xml:space="preserve">deciso di affidare il servizio di gestione dell’asilo nido di Quattrocase, sito nel Comune di Casalmaggiore. AFM opera in virtù del contratto di servizio </w:t>
      </w:r>
      <w:r w:rsidR="00D41487" w:rsidRPr="006477F3">
        <w:rPr>
          <w:rFonts w:asciiTheme="majorHAnsi" w:hAnsiTheme="majorHAnsi" w:cstheme="majorHAnsi"/>
          <w:color w:val="221F1F"/>
        </w:rPr>
        <w:t xml:space="preserve">n. 11.901 </w:t>
      </w:r>
      <w:r w:rsidRPr="006477F3">
        <w:rPr>
          <w:rFonts w:asciiTheme="majorHAnsi" w:hAnsiTheme="majorHAnsi" w:cstheme="majorHAnsi"/>
          <w:color w:val="221F1F"/>
        </w:rPr>
        <w:t>stipulato tra la stessa A.F.M. e il Comune di Casalmaggiore in data</w:t>
      </w:r>
      <w:r w:rsidR="00D41487" w:rsidRPr="006477F3">
        <w:rPr>
          <w:rFonts w:asciiTheme="majorHAnsi" w:hAnsiTheme="majorHAnsi" w:cstheme="majorHAnsi"/>
          <w:color w:val="221F1F"/>
        </w:rPr>
        <w:t xml:space="preserve"> 30/06/2018</w:t>
      </w:r>
      <w:r w:rsidRPr="006477F3">
        <w:rPr>
          <w:rFonts w:asciiTheme="majorHAnsi" w:hAnsiTheme="majorHAnsi" w:cstheme="majorHAnsi"/>
          <w:color w:val="221F1F"/>
        </w:rPr>
        <w:t>.</w:t>
      </w:r>
    </w:p>
    <w:p w14:paraId="0F67B150" w14:textId="0DD54039" w:rsidR="00BE6DCE" w:rsidRPr="006477F3" w:rsidRDefault="00BE6DCE" w:rsidP="00613EA3">
      <w:pPr>
        <w:pStyle w:val="Corpotesto"/>
        <w:spacing w:line="276" w:lineRule="exact"/>
        <w:ind w:left="0" w:right="-52"/>
        <w:rPr>
          <w:rFonts w:asciiTheme="majorHAnsi" w:hAnsiTheme="majorHAnsi" w:cstheme="majorHAnsi"/>
        </w:rPr>
      </w:pPr>
      <w:r w:rsidRPr="006477F3">
        <w:rPr>
          <w:rFonts w:asciiTheme="majorHAnsi" w:hAnsiTheme="majorHAnsi" w:cstheme="majorHAnsi"/>
          <w:color w:val="221F1F"/>
        </w:rPr>
        <w:t>La</w:t>
      </w:r>
      <w:r w:rsidRPr="006477F3">
        <w:rPr>
          <w:rFonts w:asciiTheme="majorHAnsi" w:hAnsiTheme="majorHAnsi" w:cstheme="majorHAnsi"/>
          <w:color w:val="221F1F"/>
          <w:spacing w:val="-4"/>
        </w:rPr>
        <w:t xml:space="preserve"> </w:t>
      </w:r>
      <w:r w:rsidRPr="006477F3">
        <w:rPr>
          <w:rFonts w:asciiTheme="majorHAnsi" w:hAnsiTheme="majorHAnsi" w:cstheme="majorHAnsi"/>
          <w:color w:val="221F1F"/>
        </w:rPr>
        <w:t>presente</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 xml:space="preserve">lettera di invito viene inviata </w:t>
      </w:r>
      <w:r w:rsidR="00D41487" w:rsidRPr="006477F3">
        <w:rPr>
          <w:rFonts w:asciiTheme="majorHAnsi" w:hAnsiTheme="majorHAnsi" w:cstheme="majorHAnsi"/>
          <w:color w:val="221F1F"/>
        </w:rPr>
        <w:t>a</w:t>
      </w:r>
      <w:r w:rsidRPr="006477F3">
        <w:rPr>
          <w:rFonts w:asciiTheme="majorHAnsi" w:hAnsiTheme="majorHAnsi" w:cstheme="majorHAnsi"/>
          <w:color w:val="221F1F"/>
        </w:rPr>
        <w:t xml:space="preserve">gli operatori economici che hanno manifestato interesse a seguito dell’avviso di indagine di mercato </w:t>
      </w:r>
      <w:r w:rsidR="00613EA3" w:rsidRPr="006477F3">
        <w:rPr>
          <w:rFonts w:asciiTheme="majorHAnsi" w:hAnsiTheme="majorHAnsi" w:cstheme="majorHAnsi"/>
          <w:color w:val="221F1F"/>
        </w:rPr>
        <w:t xml:space="preserve">pubblicato sul portale SINTEL e sulla Banca Dati Nazionale dei Contratti Pubblici </w:t>
      </w:r>
      <w:r w:rsidR="00D41487" w:rsidRPr="006477F3">
        <w:rPr>
          <w:rFonts w:asciiTheme="majorHAnsi" w:hAnsiTheme="majorHAnsi" w:cstheme="majorHAnsi"/>
          <w:color w:val="221F1F"/>
        </w:rPr>
        <w:t>in data</w:t>
      </w:r>
      <w:r w:rsidR="00613EA3" w:rsidRPr="006477F3">
        <w:rPr>
          <w:rFonts w:asciiTheme="majorHAnsi" w:hAnsiTheme="majorHAnsi" w:cstheme="majorHAnsi"/>
          <w:color w:val="221F1F"/>
        </w:rPr>
        <w:t xml:space="preserve"> </w:t>
      </w:r>
      <w:r w:rsidR="00D41487" w:rsidRPr="006477F3">
        <w:rPr>
          <w:rFonts w:asciiTheme="majorHAnsi" w:hAnsiTheme="majorHAnsi" w:cstheme="majorHAnsi"/>
          <w:color w:val="221F1F"/>
        </w:rPr>
        <w:t>17/04/2025</w:t>
      </w:r>
      <w:r w:rsidRPr="006477F3">
        <w:rPr>
          <w:rFonts w:asciiTheme="majorHAnsi" w:hAnsiTheme="majorHAnsi" w:cstheme="majorHAnsi"/>
          <w:color w:val="221F1F"/>
          <w:spacing w:val="-2"/>
        </w:rPr>
        <w:t>.</w:t>
      </w:r>
    </w:p>
    <w:p w14:paraId="1809F2AD" w14:textId="409C4ED9" w:rsidR="00BE6DCE" w:rsidRPr="006477F3" w:rsidRDefault="00BE6DCE" w:rsidP="00613EA3">
      <w:pPr>
        <w:pStyle w:val="Corpotesto"/>
        <w:ind w:left="0" w:right="-52"/>
        <w:rPr>
          <w:rFonts w:asciiTheme="majorHAnsi" w:hAnsiTheme="majorHAnsi" w:cstheme="majorHAnsi"/>
        </w:rPr>
      </w:pPr>
      <w:r w:rsidRPr="006477F3">
        <w:rPr>
          <w:rFonts w:asciiTheme="majorHAnsi" w:hAnsiTheme="majorHAnsi" w:cstheme="majorHAnsi"/>
          <w:color w:val="221F1F"/>
        </w:rPr>
        <w:t>La</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presente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procedura</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è</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interamente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svolta</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tramite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il</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sistema</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informatico</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per</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le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procedure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telematiche di</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acquisto</w:t>
      </w:r>
      <w:r w:rsidRPr="006477F3">
        <w:rPr>
          <w:rFonts w:asciiTheme="majorHAnsi" w:hAnsiTheme="majorHAnsi" w:cstheme="majorHAnsi"/>
          <w:color w:val="221F1F"/>
          <w:spacing w:val="-4"/>
        </w:rPr>
        <w:t xml:space="preserve"> </w:t>
      </w:r>
      <w:r w:rsidRPr="006477F3">
        <w:rPr>
          <w:rFonts w:asciiTheme="majorHAnsi" w:hAnsiTheme="majorHAnsi" w:cstheme="majorHAnsi"/>
          <w:color w:val="221F1F"/>
        </w:rPr>
        <w:t>dell’Azienda</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Regionale</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per</w:t>
      </w:r>
      <w:r w:rsidRPr="006477F3">
        <w:rPr>
          <w:rFonts w:asciiTheme="majorHAnsi" w:hAnsiTheme="majorHAnsi" w:cstheme="majorHAnsi"/>
          <w:color w:val="221F1F"/>
          <w:spacing w:val="-4"/>
        </w:rPr>
        <w:t xml:space="preserve"> </w:t>
      </w:r>
      <w:r w:rsidRPr="006477F3">
        <w:rPr>
          <w:rFonts w:asciiTheme="majorHAnsi" w:hAnsiTheme="majorHAnsi" w:cstheme="majorHAnsi"/>
          <w:color w:val="221F1F"/>
        </w:rPr>
        <w:t>l’Innovazione</w:t>
      </w:r>
      <w:r w:rsidRPr="006477F3">
        <w:rPr>
          <w:rFonts w:asciiTheme="majorHAnsi" w:hAnsiTheme="majorHAnsi" w:cstheme="majorHAnsi"/>
          <w:color w:val="221F1F"/>
          <w:spacing w:val="-4"/>
        </w:rPr>
        <w:t xml:space="preserve"> </w:t>
      </w:r>
      <w:r w:rsidRPr="006477F3">
        <w:rPr>
          <w:rFonts w:asciiTheme="majorHAnsi" w:hAnsiTheme="majorHAnsi" w:cstheme="majorHAnsi"/>
          <w:color w:val="221F1F"/>
        </w:rPr>
        <w:t>e</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gli</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Acquisti</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SINTEL</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seguito</w:t>
      </w:r>
      <w:r w:rsidRPr="006477F3">
        <w:rPr>
          <w:rFonts w:asciiTheme="majorHAnsi" w:hAnsiTheme="majorHAnsi" w:cstheme="majorHAnsi"/>
          <w:color w:val="221F1F"/>
          <w:spacing w:val="-4"/>
        </w:rPr>
        <w:t xml:space="preserve"> </w:t>
      </w:r>
      <w:r w:rsidRPr="006477F3">
        <w:rPr>
          <w:rFonts w:asciiTheme="majorHAnsi" w:hAnsiTheme="majorHAnsi" w:cstheme="majorHAnsi"/>
          <w:color w:val="221F1F"/>
        </w:rPr>
        <w:t xml:space="preserve">Piattaforma) accessibile all’indirizzo </w:t>
      </w:r>
      <w:hyperlink r:id="rId12" w:history="1">
        <w:r w:rsidR="00A71DFF" w:rsidRPr="006477F3">
          <w:rPr>
            <w:rStyle w:val="Collegamentoipertestuale"/>
            <w:rFonts w:asciiTheme="majorHAnsi" w:hAnsiTheme="majorHAnsi" w:cstheme="majorHAnsi"/>
          </w:rPr>
          <w:t>https://www.sintel.regione.lombardia.it/eprocdata/auctionDetail.xhtml?id=200185555</w:t>
        </w:r>
      </w:hyperlink>
      <w:r w:rsidR="00A71DFF" w:rsidRPr="006477F3">
        <w:rPr>
          <w:rFonts w:asciiTheme="majorHAnsi" w:hAnsiTheme="majorHAnsi" w:cstheme="majorHAnsi"/>
          <w:color w:val="2050A2"/>
        </w:rPr>
        <w:t xml:space="preserve"> . </w:t>
      </w:r>
      <w:r w:rsidRPr="006477F3">
        <w:rPr>
          <w:rFonts w:asciiTheme="majorHAnsi" w:hAnsiTheme="majorHAnsi" w:cstheme="majorHAnsi"/>
          <w:color w:val="221F1F"/>
        </w:rPr>
        <w:t>Tramite il sito si accede alla procedura nonché alla documentazione di gara.</w:t>
      </w:r>
    </w:p>
    <w:p w14:paraId="50AF9B8E" w14:textId="3818F37E" w:rsidR="00BE6DCE" w:rsidRPr="006477F3" w:rsidRDefault="00BE6DCE" w:rsidP="00613EA3">
      <w:pPr>
        <w:pStyle w:val="Corpotesto"/>
        <w:spacing w:before="275"/>
        <w:ind w:left="0" w:right="-52"/>
        <w:rPr>
          <w:rFonts w:asciiTheme="majorHAnsi" w:hAnsiTheme="majorHAnsi" w:cstheme="majorHAnsi"/>
        </w:rPr>
      </w:pPr>
      <w:r w:rsidRPr="006477F3">
        <w:rPr>
          <w:rFonts w:asciiTheme="majorHAnsi" w:hAnsiTheme="majorHAnsi" w:cstheme="majorHAnsi"/>
          <w:color w:val="221F1F"/>
        </w:rPr>
        <w:t xml:space="preserve">L’affidamento avviene mediante procedura </w:t>
      </w:r>
      <w:r w:rsidR="00613EA3" w:rsidRPr="006477F3">
        <w:rPr>
          <w:rFonts w:asciiTheme="majorHAnsi" w:hAnsiTheme="majorHAnsi" w:cstheme="majorHAnsi"/>
          <w:color w:val="221F1F"/>
        </w:rPr>
        <w:t>negoziata,</w:t>
      </w:r>
      <w:r w:rsidRPr="006477F3">
        <w:rPr>
          <w:rFonts w:asciiTheme="majorHAnsi" w:hAnsiTheme="majorHAnsi" w:cstheme="majorHAnsi"/>
          <w:color w:val="221F1F"/>
        </w:rPr>
        <w:t xml:space="preserve"> </w:t>
      </w:r>
      <w:r w:rsidRPr="006477F3">
        <w:rPr>
          <w:rFonts w:asciiTheme="majorHAnsi" w:hAnsiTheme="majorHAnsi" w:cstheme="majorHAnsi"/>
          <w:b/>
          <w:color w:val="221F1F"/>
        </w:rPr>
        <w:t>so</w:t>
      </w:r>
      <w:r w:rsidR="00613EA3" w:rsidRPr="006477F3">
        <w:rPr>
          <w:rFonts w:asciiTheme="majorHAnsi" w:hAnsiTheme="majorHAnsi" w:cstheme="majorHAnsi"/>
          <w:b/>
          <w:color w:val="221F1F"/>
        </w:rPr>
        <w:t>tto</w:t>
      </w:r>
      <w:r w:rsidRPr="006477F3">
        <w:rPr>
          <w:rFonts w:asciiTheme="majorHAnsi" w:hAnsiTheme="majorHAnsi" w:cstheme="majorHAnsi"/>
          <w:color w:val="221F1F"/>
        </w:rPr>
        <w:t xml:space="preserve"> </w:t>
      </w:r>
      <w:r w:rsidRPr="006477F3">
        <w:rPr>
          <w:rFonts w:asciiTheme="majorHAnsi" w:hAnsiTheme="majorHAnsi" w:cstheme="majorHAnsi"/>
          <w:b/>
          <w:color w:val="221F1F"/>
        </w:rPr>
        <w:t>soglia</w:t>
      </w:r>
      <w:r w:rsidRPr="006477F3">
        <w:rPr>
          <w:rFonts w:asciiTheme="majorHAnsi" w:hAnsiTheme="majorHAnsi" w:cstheme="majorHAnsi"/>
          <w:color w:val="221F1F"/>
        </w:rPr>
        <w:t xml:space="preserve"> </w:t>
      </w:r>
      <w:r w:rsidRPr="006477F3">
        <w:rPr>
          <w:rFonts w:asciiTheme="majorHAnsi" w:hAnsiTheme="majorHAnsi" w:cstheme="majorHAnsi"/>
          <w:b/>
          <w:color w:val="221F1F"/>
        </w:rPr>
        <w:t>comunitaria,</w:t>
      </w:r>
      <w:r w:rsidRPr="006477F3">
        <w:rPr>
          <w:rFonts w:asciiTheme="majorHAnsi" w:hAnsiTheme="majorHAnsi" w:cstheme="majorHAnsi"/>
          <w:color w:val="221F1F"/>
        </w:rPr>
        <w:t xml:space="preserve"> ai sensi dell’art. </w:t>
      </w:r>
      <w:r w:rsidR="00613EA3" w:rsidRPr="006477F3">
        <w:rPr>
          <w:rFonts w:asciiTheme="majorHAnsi" w:hAnsiTheme="majorHAnsi" w:cstheme="majorHAnsi"/>
          <w:color w:val="221F1F"/>
        </w:rPr>
        <w:t>50, comma 1, lettera e),</w:t>
      </w:r>
      <w:r w:rsidRPr="006477F3">
        <w:rPr>
          <w:rFonts w:asciiTheme="majorHAnsi" w:hAnsiTheme="majorHAnsi" w:cstheme="majorHAnsi"/>
          <w:color w:val="221F1F"/>
        </w:rPr>
        <w:t xml:space="preserve"> del d.lgs.</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36/2023, con</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applicazione</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del</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criterio</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dell’offerta</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economicamente più</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vantaggiosa</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individuata sulla base del miglior rapporto qualità prezzo.</w:t>
      </w:r>
    </w:p>
    <w:p w14:paraId="7BEF8613" w14:textId="0974B5B2" w:rsidR="00BE6DCE" w:rsidRPr="006477F3" w:rsidRDefault="00BE6DCE" w:rsidP="00613EA3">
      <w:pPr>
        <w:pStyle w:val="Corpotesto"/>
        <w:spacing w:before="275"/>
        <w:ind w:left="0" w:right="-52"/>
        <w:rPr>
          <w:rFonts w:asciiTheme="majorHAnsi" w:hAnsiTheme="majorHAnsi" w:cstheme="majorHAnsi"/>
        </w:rPr>
      </w:pPr>
      <w:r w:rsidRPr="006477F3">
        <w:rPr>
          <w:rFonts w:asciiTheme="majorHAnsi" w:hAnsiTheme="majorHAnsi" w:cstheme="majorHAnsi"/>
          <w:color w:val="221F1F"/>
        </w:rPr>
        <w:lastRenderedPageBreak/>
        <w:t>L’appalto</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è</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disciplinato</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dalle</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norme</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e</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condizioni</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previste</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dal</w:t>
      </w:r>
      <w:r w:rsidRPr="006477F3">
        <w:rPr>
          <w:rFonts w:asciiTheme="majorHAnsi" w:hAnsiTheme="majorHAnsi" w:cstheme="majorHAnsi"/>
          <w:color w:val="221F1F"/>
          <w:spacing w:val="-15"/>
        </w:rPr>
        <w:t xml:space="preserve"> </w:t>
      </w:r>
      <w:r w:rsidR="00A71DFF" w:rsidRPr="006477F3">
        <w:rPr>
          <w:rFonts w:asciiTheme="majorHAnsi" w:hAnsiTheme="majorHAnsi" w:cstheme="majorHAnsi"/>
          <w:color w:val="221F1F"/>
        </w:rPr>
        <w:t>D.lgs.</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n.</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36/2023</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seguito</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denominato anche Codice) riferite alla tipologia di procedura oggetto di affidamento, dal D.Lgs.n.82/2005, dalle Relative regole tecniche e dai provvedimenti adottati dal DigitPA/Agenzia per l’Italia Digitale</w:t>
      </w:r>
      <w:r w:rsidRPr="006477F3">
        <w:rPr>
          <w:rFonts w:asciiTheme="majorHAnsi" w:hAnsiTheme="majorHAnsi" w:cstheme="majorHAnsi"/>
          <w:color w:val="B84D9C"/>
        </w:rPr>
        <w:t>,</w:t>
      </w:r>
      <w:r w:rsidRPr="006477F3">
        <w:rPr>
          <w:rFonts w:asciiTheme="majorHAnsi" w:hAnsiTheme="majorHAnsi" w:cstheme="majorHAnsi"/>
          <w:color w:val="B84D9C"/>
          <w:spacing w:val="-8"/>
        </w:rPr>
        <w:t xml:space="preserve"> </w:t>
      </w:r>
      <w:r w:rsidRPr="006477F3">
        <w:rPr>
          <w:rFonts w:asciiTheme="majorHAnsi" w:hAnsiTheme="majorHAnsi" w:cstheme="majorHAnsi"/>
          <w:color w:val="221F1F"/>
        </w:rPr>
        <w:t>dalle Regole del sistema di e-procurement della piattaforma telematica Sintel di Aria Regione Lombardia, nel</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caso</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specie</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la</w:t>
      </w:r>
      <w:r w:rsidRPr="006477F3">
        <w:rPr>
          <w:rFonts w:asciiTheme="majorHAnsi" w:hAnsiTheme="majorHAnsi" w:cstheme="majorHAnsi"/>
          <w:color w:val="221F1F"/>
          <w:spacing w:val="-4"/>
        </w:rPr>
        <w:t xml:space="preserve"> </w:t>
      </w:r>
      <w:r w:rsidRPr="006477F3">
        <w:rPr>
          <w:rFonts w:asciiTheme="majorHAnsi" w:hAnsiTheme="majorHAnsi" w:cstheme="majorHAnsi"/>
          <w:color w:val="221F1F"/>
        </w:rPr>
        <w:t>piattaforma</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Sintel</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Aria</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Regione Lombardia,</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oltre</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che,</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per</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quanto</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non</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regolato dalle</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clausole e disposizioni suddette, dalle norme del Codice civile e</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dalle altre</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disposizioni di legge nazionali vigenti in materia di contratti di diritto privato, nonché dalle leggi nazionali e comunitarie vigenti nella materia oggetto dell’Appalto, nonché dai chiarimenti forniti dalla Stazione Appaltante con le modalità di cui a paragrafo 2.2.</w:t>
      </w:r>
    </w:p>
    <w:p w14:paraId="1F9394B2" w14:textId="77777777" w:rsidR="006E2CC5" w:rsidRPr="006477F3" w:rsidRDefault="006E2CC5" w:rsidP="006E2CC5">
      <w:pPr>
        <w:pStyle w:val="Corpotesto"/>
        <w:spacing w:before="275"/>
        <w:ind w:left="0"/>
        <w:rPr>
          <w:rFonts w:asciiTheme="majorHAnsi" w:hAnsiTheme="majorHAnsi" w:cstheme="majorHAnsi"/>
        </w:rPr>
      </w:pPr>
      <w:r w:rsidRPr="006477F3">
        <w:rPr>
          <w:rFonts w:asciiTheme="majorHAnsi" w:hAnsiTheme="majorHAnsi" w:cstheme="majorHAnsi"/>
          <w:color w:val="221F1F"/>
        </w:rPr>
        <w:t>Con la presentazione dell’offerta telematica si intendono accettate, incondizionatamente, tutte le clausole e condizioni previste negli atti di gara, ivi comprese le comunicazioni/comunicati pubblicati dalla Stazione Appaltante sul Portale.</w:t>
      </w:r>
    </w:p>
    <w:p w14:paraId="7BBC2C3B" w14:textId="77777777" w:rsidR="006E2CC5" w:rsidRPr="006477F3" w:rsidRDefault="006E2CC5" w:rsidP="006E2CC5">
      <w:pPr>
        <w:pStyle w:val="Corpotesto"/>
        <w:spacing w:line="275" w:lineRule="exact"/>
        <w:ind w:left="0"/>
        <w:rPr>
          <w:rFonts w:asciiTheme="majorHAnsi" w:hAnsiTheme="majorHAnsi" w:cstheme="majorHAnsi"/>
        </w:rPr>
      </w:pPr>
      <w:r w:rsidRPr="006477F3">
        <w:rPr>
          <w:rFonts w:asciiTheme="majorHAnsi" w:hAnsiTheme="majorHAnsi" w:cstheme="majorHAnsi"/>
          <w:color w:val="221F1F"/>
        </w:rPr>
        <w:t>Per</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quanto</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riportato</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nel</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presente</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documento</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si</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precisa</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spacing w:val="-4"/>
        </w:rPr>
        <w:t>che:</w:t>
      </w:r>
    </w:p>
    <w:p w14:paraId="7CF9BCC8" w14:textId="77777777" w:rsidR="006E2CC5" w:rsidRPr="006477F3" w:rsidRDefault="006E2CC5" w:rsidP="00AC7153">
      <w:pPr>
        <w:pStyle w:val="Paragrafoelenco"/>
        <w:widowControl w:val="0"/>
        <w:numPr>
          <w:ilvl w:val="0"/>
          <w:numId w:val="4"/>
        </w:numPr>
        <w:tabs>
          <w:tab w:val="left" w:pos="426"/>
        </w:tabs>
        <w:autoSpaceDE w:val="0"/>
        <w:autoSpaceDN w:val="0"/>
        <w:ind w:left="426"/>
        <w:contextualSpacing w:val="0"/>
        <w:jc w:val="both"/>
        <w:rPr>
          <w:rFonts w:asciiTheme="majorHAnsi" w:hAnsiTheme="majorHAnsi" w:cstheme="majorHAnsi"/>
        </w:rPr>
      </w:pPr>
      <w:r w:rsidRPr="006477F3">
        <w:rPr>
          <w:rFonts w:asciiTheme="majorHAnsi" w:hAnsiTheme="majorHAnsi" w:cstheme="majorHAnsi"/>
          <w:color w:val="221F1F"/>
        </w:rPr>
        <w:t xml:space="preserve">per Portale/sistema telematico/sistema/piattaforma si intende il Sistema telematico Sintel raggiungibile dall’indirizzo </w:t>
      </w:r>
      <w:hyperlink r:id="rId13">
        <w:r w:rsidRPr="006477F3">
          <w:rPr>
            <w:rFonts w:asciiTheme="majorHAnsi" w:hAnsiTheme="majorHAnsi" w:cstheme="majorHAnsi"/>
            <w:color w:val="2050A2"/>
            <w:u w:val="single" w:color="2050A2"/>
          </w:rPr>
          <w:t>www.ariaspa.it</w:t>
        </w:r>
      </w:hyperlink>
    </w:p>
    <w:p w14:paraId="13CC2D7C" w14:textId="77777777" w:rsidR="006E2CC5" w:rsidRPr="006477F3" w:rsidRDefault="006E2CC5" w:rsidP="00AC7153">
      <w:pPr>
        <w:pStyle w:val="Paragrafoelenco"/>
        <w:widowControl w:val="0"/>
        <w:numPr>
          <w:ilvl w:val="0"/>
          <w:numId w:val="4"/>
        </w:numPr>
        <w:tabs>
          <w:tab w:val="left" w:pos="426"/>
        </w:tabs>
        <w:autoSpaceDE w:val="0"/>
        <w:autoSpaceDN w:val="0"/>
        <w:ind w:left="426"/>
        <w:contextualSpacing w:val="0"/>
        <w:jc w:val="both"/>
        <w:rPr>
          <w:rFonts w:asciiTheme="majorHAnsi" w:hAnsiTheme="majorHAnsi" w:cstheme="majorHAnsi"/>
        </w:rPr>
      </w:pPr>
      <w:r w:rsidRPr="006477F3">
        <w:rPr>
          <w:rFonts w:asciiTheme="majorHAnsi" w:hAnsiTheme="majorHAnsi" w:cstheme="majorHAnsi"/>
          <w:color w:val="221F1F"/>
        </w:rPr>
        <w:t>per offerta telematica si intende l’offerta inviata attraverso il Portale e comprensiva della documentazione amministrativa, dell’offerta tecnica e dell’offerta economica (Documento di offerta con eventuali allegati).</w:t>
      </w:r>
    </w:p>
    <w:p w14:paraId="1AF9A605" w14:textId="5E4C4DD5" w:rsidR="006E2CC5" w:rsidRPr="006477F3" w:rsidRDefault="006E2CC5" w:rsidP="006E2CC5">
      <w:pPr>
        <w:pStyle w:val="Corpotesto"/>
        <w:spacing w:before="272"/>
        <w:ind w:left="0"/>
        <w:rPr>
          <w:rFonts w:asciiTheme="majorHAnsi" w:hAnsiTheme="majorHAnsi" w:cstheme="majorHAnsi"/>
        </w:rPr>
      </w:pPr>
      <w:r w:rsidRPr="006477F3">
        <w:rPr>
          <w:rFonts w:asciiTheme="majorHAnsi" w:hAnsiTheme="majorHAnsi" w:cstheme="majorHAnsi"/>
          <w:color w:val="221F1F"/>
        </w:rPr>
        <w:t>Il</w:t>
      </w:r>
      <w:r w:rsidRPr="006477F3">
        <w:rPr>
          <w:rFonts w:asciiTheme="majorHAnsi" w:hAnsiTheme="majorHAnsi" w:cstheme="majorHAnsi"/>
          <w:color w:val="221F1F"/>
          <w:spacing w:val="-4"/>
        </w:rPr>
        <w:t xml:space="preserve"> </w:t>
      </w:r>
      <w:r w:rsidRPr="006477F3">
        <w:rPr>
          <w:rFonts w:asciiTheme="majorHAnsi" w:hAnsiTheme="majorHAnsi" w:cstheme="majorHAnsi"/>
          <w:color w:val="221F1F"/>
        </w:rPr>
        <w:t>luogo</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svolgimento</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delle</w:t>
      </w:r>
      <w:r w:rsidRPr="006477F3">
        <w:rPr>
          <w:rFonts w:asciiTheme="majorHAnsi" w:hAnsiTheme="majorHAnsi" w:cstheme="majorHAnsi"/>
          <w:color w:val="221F1F"/>
          <w:spacing w:val="-4"/>
        </w:rPr>
        <w:t xml:space="preserve"> </w:t>
      </w:r>
      <w:r w:rsidRPr="006477F3">
        <w:rPr>
          <w:rFonts w:asciiTheme="majorHAnsi" w:hAnsiTheme="majorHAnsi" w:cstheme="majorHAnsi"/>
          <w:color w:val="221F1F"/>
        </w:rPr>
        <w:t>prestazioni</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è:</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Comune</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Casalmaggiore, località Quattrocase;</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codice</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NUTS</w:t>
      </w:r>
      <w:r w:rsidR="00A71DFF" w:rsidRPr="006477F3">
        <w:rPr>
          <w:rFonts w:asciiTheme="majorHAnsi" w:hAnsiTheme="majorHAnsi" w:cstheme="majorHAnsi"/>
        </w:rPr>
        <w:t xml:space="preserve"> </w:t>
      </w:r>
      <w:r w:rsidR="00A71DFF" w:rsidRPr="006477F3">
        <w:rPr>
          <w:rFonts w:asciiTheme="majorHAnsi" w:hAnsiTheme="majorHAnsi" w:cstheme="majorHAnsi"/>
          <w:color w:val="221F1F"/>
          <w:spacing w:val="-2"/>
        </w:rPr>
        <w:t>ITC4A</w:t>
      </w:r>
      <w:r w:rsidRPr="006477F3">
        <w:rPr>
          <w:rFonts w:asciiTheme="majorHAnsi" w:hAnsiTheme="majorHAnsi" w:cstheme="majorHAnsi"/>
          <w:color w:val="040607"/>
          <w:spacing w:val="-2"/>
        </w:rPr>
        <w:t>.</w:t>
      </w:r>
    </w:p>
    <w:p w14:paraId="7662DB97" w14:textId="77777777" w:rsidR="006E2CC5" w:rsidRPr="006477F3" w:rsidRDefault="006E2CC5" w:rsidP="006E2CC5">
      <w:pPr>
        <w:pStyle w:val="Corpotesto"/>
        <w:ind w:left="0"/>
        <w:rPr>
          <w:rFonts w:asciiTheme="majorHAnsi" w:hAnsiTheme="majorHAnsi" w:cstheme="majorHAnsi"/>
        </w:rPr>
      </w:pPr>
    </w:p>
    <w:p w14:paraId="498F1E86" w14:textId="66AA58B8" w:rsidR="006E2CC5" w:rsidRPr="006477F3" w:rsidRDefault="006E2CC5" w:rsidP="006E2CC5">
      <w:pPr>
        <w:jc w:val="both"/>
        <w:rPr>
          <w:rFonts w:asciiTheme="majorHAnsi" w:hAnsiTheme="majorHAnsi" w:cstheme="majorHAnsi"/>
        </w:rPr>
      </w:pPr>
      <w:r w:rsidRPr="006477F3">
        <w:rPr>
          <w:rFonts w:asciiTheme="majorHAnsi" w:hAnsiTheme="majorHAnsi" w:cstheme="majorHAnsi"/>
          <w:b/>
          <w:color w:val="221F1F"/>
        </w:rPr>
        <w:t>CIG</w:t>
      </w:r>
      <w:r w:rsidRPr="006477F3">
        <w:rPr>
          <w:rFonts w:asciiTheme="majorHAnsi" w:hAnsiTheme="majorHAnsi" w:cstheme="majorHAnsi"/>
          <w:color w:val="221F1F"/>
          <w:spacing w:val="-3"/>
        </w:rPr>
        <w:t xml:space="preserve"> </w:t>
      </w:r>
      <w:r w:rsidR="00A71DFF" w:rsidRPr="006477F3">
        <w:rPr>
          <w:rFonts w:asciiTheme="majorHAnsi" w:hAnsiTheme="majorHAnsi" w:cstheme="majorHAnsi"/>
          <w:b/>
          <w:bCs/>
          <w:color w:val="221F1F"/>
          <w:spacing w:val="-3"/>
        </w:rPr>
        <w:t>B68D675D41</w:t>
      </w:r>
    </w:p>
    <w:p w14:paraId="485682DD" w14:textId="3D2F6691" w:rsidR="00BE6DCE" w:rsidRPr="006477F3" w:rsidRDefault="00BE6DCE" w:rsidP="006E2CC5">
      <w:pPr>
        <w:pStyle w:val="Nessunaspaziatura"/>
        <w:spacing w:line="276" w:lineRule="auto"/>
        <w:rPr>
          <w:rFonts w:asciiTheme="majorHAnsi" w:eastAsia="Times New Roman" w:hAnsiTheme="majorHAnsi" w:cstheme="majorHAnsi"/>
          <w:lang w:eastAsia="zh-CN"/>
        </w:rPr>
      </w:pPr>
    </w:p>
    <w:p w14:paraId="05B79BA3" w14:textId="77777777" w:rsidR="00007D50" w:rsidRPr="006477F3" w:rsidRDefault="00007D50" w:rsidP="00007D50">
      <w:pPr>
        <w:pStyle w:val="Corpotesto"/>
        <w:ind w:left="0"/>
        <w:rPr>
          <w:rFonts w:asciiTheme="majorHAnsi" w:hAnsiTheme="majorHAnsi" w:cstheme="majorHAnsi"/>
        </w:rPr>
      </w:pPr>
      <w:r w:rsidRPr="006477F3">
        <w:rPr>
          <w:rFonts w:asciiTheme="majorHAnsi" w:hAnsiTheme="majorHAnsi" w:cstheme="majorHAnsi"/>
          <w:color w:val="221F1F"/>
        </w:rPr>
        <w:t>Il</w:t>
      </w:r>
      <w:r w:rsidRPr="006477F3">
        <w:rPr>
          <w:rFonts w:asciiTheme="majorHAnsi" w:hAnsiTheme="majorHAnsi" w:cstheme="majorHAnsi"/>
          <w:color w:val="221F1F"/>
          <w:spacing w:val="-14"/>
        </w:rPr>
        <w:t xml:space="preserve"> </w:t>
      </w:r>
      <w:r w:rsidRPr="006477F3">
        <w:rPr>
          <w:rFonts w:asciiTheme="majorHAnsi" w:hAnsiTheme="majorHAnsi" w:cstheme="majorHAnsi"/>
          <w:color w:val="221F1F"/>
        </w:rPr>
        <w:t>procedimento</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gara</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sarà</w:t>
      </w:r>
      <w:r w:rsidRPr="006477F3">
        <w:rPr>
          <w:rFonts w:asciiTheme="majorHAnsi" w:hAnsiTheme="majorHAnsi" w:cstheme="majorHAnsi"/>
          <w:color w:val="221F1F"/>
          <w:spacing w:val="-11"/>
        </w:rPr>
        <w:t xml:space="preserve"> </w:t>
      </w:r>
      <w:r w:rsidRPr="006477F3">
        <w:rPr>
          <w:rFonts w:asciiTheme="majorHAnsi" w:hAnsiTheme="majorHAnsi" w:cstheme="majorHAnsi"/>
          <w:color w:val="221F1F"/>
        </w:rPr>
        <w:t>gestito</w:t>
      </w:r>
      <w:r w:rsidRPr="006477F3">
        <w:rPr>
          <w:rFonts w:asciiTheme="majorHAnsi" w:hAnsiTheme="majorHAnsi" w:cstheme="majorHAnsi"/>
          <w:color w:val="221F1F"/>
          <w:spacing w:val="-14"/>
        </w:rPr>
        <w:t xml:space="preserve"> </w:t>
      </w:r>
      <w:r w:rsidRPr="006477F3">
        <w:rPr>
          <w:rFonts w:asciiTheme="majorHAnsi" w:hAnsiTheme="majorHAnsi" w:cstheme="majorHAnsi"/>
          <w:color w:val="221F1F"/>
        </w:rPr>
        <w:t>nel</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rispetto</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dei</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termini</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massimi</w:t>
      </w:r>
      <w:r w:rsidRPr="006477F3">
        <w:rPr>
          <w:rFonts w:asciiTheme="majorHAnsi" w:hAnsiTheme="majorHAnsi" w:cstheme="majorHAnsi"/>
          <w:color w:val="221F1F"/>
          <w:spacing w:val="-14"/>
        </w:rPr>
        <w:t xml:space="preserve"> </w:t>
      </w:r>
      <w:r w:rsidRPr="006477F3">
        <w:rPr>
          <w:rFonts w:asciiTheme="majorHAnsi" w:hAnsiTheme="majorHAnsi" w:cstheme="majorHAnsi"/>
          <w:color w:val="221F1F"/>
        </w:rPr>
        <w:t>previsti</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dall’art.17</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co.3</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del</w:t>
      </w:r>
      <w:r w:rsidRPr="006477F3">
        <w:rPr>
          <w:rFonts w:asciiTheme="majorHAnsi" w:hAnsiTheme="majorHAnsi" w:cstheme="majorHAnsi"/>
          <w:color w:val="221F1F"/>
          <w:spacing w:val="-11"/>
        </w:rPr>
        <w:t xml:space="preserve"> </w:t>
      </w:r>
      <w:r w:rsidRPr="006477F3">
        <w:rPr>
          <w:rFonts w:asciiTheme="majorHAnsi" w:hAnsiTheme="majorHAnsi" w:cstheme="majorHAnsi"/>
          <w:color w:val="221F1F"/>
          <w:spacing w:val="-2"/>
        </w:rPr>
        <w:t>Codice.</w:t>
      </w:r>
    </w:p>
    <w:p w14:paraId="6FDA5D7B" w14:textId="77777777" w:rsidR="00007D50" w:rsidRPr="006477F3" w:rsidRDefault="00007D50" w:rsidP="00007D50">
      <w:pPr>
        <w:pStyle w:val="Corpotesto"/>
        <w:spacing w:before="275"/>
        <w:ind w:left="0"/>
        <w:rPr>
          <w:rFonts w:asciiTheme="majorHAnsi" w:hAnsiTheme="majorHAnsi" w:cstheme="majorHAnsi"/>
        </w:rPr>
      </w:pPr>
    </w:p>
    <w:p w14:paraId="27412A67" w14:textId="77777777" w:rsidR="00007D50" w:rsidRPr="006477F3" w:rsidRDefault="00007D50" w:rsidP="0069424C">
      <w:pPr>
        <w:pStyle w:val="Titolo7"/>
        <w:numPr>
          <w:ilvl w:val="0"/>
          <w:numId w:val="5"/>
        </w:numPr>
        <w:tabs>
          <w:tab w:val="num" w:pos="360"/>
          <w:tab w:val="left" w:pos="744"/>
        </w:tabs>
        <w:ind w:left="426" w:hanging="426"/>
        <w:jc w:val="both"/>
        <w:rPr>
          <w:rFonts w:cstheme="majorHAnsi"/>
          <w:b/>
          <w:bCs/>
          <w:i w:val="0"/>
          <w:iCs w:val="0"/>
          <w:color w:val="221F1F"/>
        </w:rPr>
      </w:pPr>
      <w:r w:rsidRPr="006477F3">
        <w:rPr>
          <w:rFonts w:cstheme="majorHAnsi"/>
          <w:b/>
          <w:bCs/>
          <w:i w:val="0"/>
          <w:iCs w:val="0"/>
          <w:color w:val="221F1F"/>
        </w:rPr>
        <w:t>PIATTAFORMA</w:t>
      </w:r>
      <w:r w:rsidRPr="006477F3">
        <w:rPr>
          <w:rFonts w:cstheme="majorHAnsi"/>
          <w:b/>
          <w:bCs/>
          <w:i w:val="0"/>
          <w:iCs w:val="0"/>
          <w:color w:val="221F1F"/>
          <w:spacing w:val="-7"/>
        </w:rPr>
        <w:t xml:space="preserve"> </w:t>
      </w:r>
      <w:r w:rsidRPr="006477F3">
        <w:rPr>
          <w:rFonts w:cstheme="majorHAnsi"/>
          <w:b/>
          <w:bCs/>
          <w:i w:val="0"/>
          <w:iCs w:val="0"/>
          <w:color w:val="221F1F"/>
          <w:spacing w:val="-2"/>
        </w:rPr>
        <w:t>TELEMATICA</w:t>
      </w:r>
    </w:p>
    <w:p w14:paraId="0A04687E" w14:textId="77777777" w:rsidR="00007D50" w:rsidRPr="006477F3" w:rsidRDefault="00007D50" w:rsidP="00007D50">
      <w:pPr>
        <w:pStyle w:val="Corpotesto"/>
        <w:ind w:left="426" w:hanging="426"/>
        <w:rPr>
          <w:rFonts w:asciiTheme="majorHAnsi" w:hAnsiTheme="majorHAnsi" w:cstheme="majorHAnsi"/>
          <w:b/>
        </w:rPr>
      </w:pPr>
    </w:p>
    <w:p w14:paraId="662970A7" w14:textId="77777777" w:rsidR="00007D50" w:rsidRPr="006477F3" w:rsidRDefault="00007D50" w:rsidP="0069424C">
      <w:pPr>
        <w:pStyle w:val="Paragrafoelenco"/>
        <w:widowControl w:val="0"/>
        <w:numPr>
          <w:ilvl w:val="1"/>
          <w:numId w:val="5"/>
        </w:numPr>
        <w:tabs>
          <w:tab w:val="left" w:pos="924"/>
        </w:tabs>
        <w:autoSpaceDE w:val="0"/>
        <w:autoSpaceDN w:val="0"/>
        <w:ind w:left="426" w:hanging="426"/>
        <w:contextualSpacing w:val="0"/>
        <w:jc w:val="both"/>
        <w:rPr>
          <w:rFonts w:asciiTheme="majorHAnsi" w:hAnsiTheme="majorHAnsi" w:cstheme="majorHAnsi"/>
          <w:bCs/>
          <w:color w:val="221F1F"/>
        </w:rPr>
      </w:pPr>
      <w:r w:rsidRPr="006477F3">
        <w:rPr>
          <w:rFonts w:asciiTheme="majorHAnsi" w:hAnsiTheme="majorHAnsi" w:cstheme="majorHAnsi"/>
          <w:bCs/>
          <w:color w:val="221F1F"/>
        </w:rPr>
        <w:t>LA</w:t>
      </w:r>
      <w:r w:rsidRPr="006477F3">
        <w:rPr>
          <w:rFonts w:asciiTheme="majorHAnsi" w:hAnsiTheme="majorHAnsi" w:cstheme="majorHAnsi"/>
          <w:bCs/>
          <w:color w:val="221F1F"/>
          <w:spacing w:val="-6"/>
        </w:rPr>
        <w:t xml:space="preserve"> </w:t>
      </w:r>
      <w:r w:rsidRPr="006477F3">
        <w:rPr>
          <w:rFonts w:asciiTheme="majorHAnsi" w:hAnsiTheme="majorHAnsi" w:cstheme="majorHAnsi"/>
          <w:bCs/>
          <w:color w:val="221F1F"/>
        </w:rPr>
        <w:t>PIATTAFORMA</w:t>
      </w:r>
      <w:r w:rsidRPr="006477F3">
        <w:rPr>
          <w:rFonts w:asciiTheme="majorHAnsi" w:hAnsiTheme="majorHAnsi" w:cstheme="majorHAnsi"/>
          <w:bCs/>
          <w:color w:val="221F1F"/>
          <w:spacing w:val="-3"/>
        </w:rPr>
        <w:t xml:space="preserve"> </w:t>
      </w:r>
      <w:r w:rsidRPr="006477F3">
        <w:rPr>
          <w:rFonts w:asciiTheme="majorHAnsi" w:hAnsiTheme="majorHAnsi" w:cstheme="majorHAnsi"/>
          <w:bCs/>
          <w:color w:val="221F1F"/>
        </w:rPr>
        <w:t>TELEMATICA</w:t>
      </w:r>
      <w:r w:rsidRPr="006477F3">
        <w:rPr>
          <w:rFonts w:asciiTheme="majorHAnsi" w:hAnsiTheme="majorHAnsi" w:cstheme="majorHAnsi"/>
          <w:bCs/>
          <w:color w:val="221F1F"/>
          <w:spacing w:val="-4"/>
        </w:rPr>
        <w:t xml:space="preserve"> </w:t>
      </w:r>
      <w:r w:rsidRPr="006477F3">
        <w:rPr>
          <w:rFonts w:asciiTheme="majorHAnsi" w:hAnsiTheme="majorHAnsi" w:cstheme="majorHAnsi"/>
          <w:bCs/>
          <w:color w:val="221F1F"/>
        </w:rPr>
        <w:t>DI</w:t>
      </w:r>
      <w:r w:rsidRPr="006477F3">
        <w:rPr>
          <w:rFonts w:asciiTheme="majorHAnsi" w:hAnsiTheme="majorHAnsi" w:cstheme="majorHAnsi"/>
          <w:bCs/>
          <w:color w:val="221F1F"/>
          <w:spacing w:val="-2"/>
        </w:rPr>
        <w:t xml:space="preserve"> NEGOZIAZIONE</w:t>
      </w:r>
    </w:p>
    <w:p w14:paraId="5ED3B06D" w14:textId="77777777" w:rsidR="00007D50" w:rsidRPr="00BB024E" w:rsidRDefault="00007D50" w:rsidP="00BB024E">
      <w:pPr>
        <w:pStyle w:val="Corpotesto"/>
        <w:spacing w:before="77"/>
        <w:ind w:left="0"/>
        <w:rPr>
          <w:rFonts w:asciiTheme="majorHAnsi" w:hAnsiTheme="majorHAnsi" w:cstheme="majorHAnsi"/>
          <w:color w:val="221F1F"/>
        </w:rPr>
      </w:pPr>
      <w:r w:rsidRPr="00BB024E">
        <w:rPr>
          <w:rFonts w:asciiTheme="majorHAnsi" w:hAnsiTheme="majorHAnsi" w:cstheme="majorHAnsi"/>
          <w:color w:val="221F1F"/>
        </w:rPr>
        <w:t>Il funzionamento della Piattaforma avviene nel rispetto della legislazione vigente e, in particolare, del Regolamento UE n. 910/2014 (di seguito Regolamento eIDAS - electronic IDentification Authentication and Signature), del decreto legislativo n. 82/2005 (Codice dell’amministrazione digitale), del Decreto Legislativo n.36/2023 (Codice dei contratti) e delle Linee guida/Regole dell’AGID, tenuto conto delle funzionalità presenti a sistema.</w:t>
      </w:r>
    </w:p>
    <w:p w14:paraId="7A2425CD" w14:textId="77777777" w:rsidR="00007D50" w:rsidRPr="00BB024E" w:rsidRDefault="00007D50" w:rsidP="00BB024E">
      <w:pPr>
        <w:pStyle w:val="Corpotesto"/>
        <w:spacing w:before="77"/>
        <w:ind w:left="0"/>
        <w:rPr>
          <w:rFonts w:asciiTheme="majorHAnsi" w:hAnsiTheme="majorHAnsi" w:cstheme="majorHAnsi"/>
          <w:color w:val="221F1F"/>
        </w:rPr>
      </w:pPr>
      <w:r w:rsidRPr="00BB024E">
        <w:rPr>
          <w:rFonts w:asciiTheme="majorHAnsi" w:hAnsiTheme="majorHAnsi" w:cstheme="majorHAnsi"/>
          <w:color w:val="221F1F"/>
        </w:rPr>
        <w:t>L’utilizzo della Piattaforma comporta l’accettazione tacita ed incondizionata di tutti i termini, le condizioni di utilizzo e le avvertenze contenute nei documenti di gara, nel predetto documento nonché di quanto portato a conoscenza degli utenti tramite le comunicazioni sulla Piattaforma.</w:t>
      </w:r>
    </w:p>
    <w:p w14:paraId="57CB325E" w14:textId="77777777" w:rsidR="00007D50" w:rsidRPr="00BB024E" w:rsidRDefault="00007D50" w:rsidP="00BB024E">
      <w:pPr>
        <w:pStyle w:val="Corpotesto"/>
        <w:spacing w:before="77"/>
        <w:ind w:left="0"/>
        <w:rPr>
          <w:rFonts w:asciiTheme="majorHAnsi" w:hAnsiTheme="majorHAnsi" w:cstheme="majorHAnsi"/>
          <w:color w:val="221F1F"/>
        </w:rPr>
      </w:pPr>
      <w:r w:rsidRPr="00BB024E">
        <w:rPr>
          <w:rFonts w:asciiTheme="majorHAnsi" w:hAnsiTheme="majorHAnsi" w:cstheme="majorHAnsi"/>
          <w:color w:val="221F1F"/>
        </w:rPr>
        <w:t>L’utilizzo della Piattaforma avviene nel rispetto dei principi di autoresponsabilità e di diligenza professionale, secondo quanto previsto dall’articolo 1176, comma 2, del codice civile ed è regolato, tra gli altri, dai seguenti principi:</w:t>
      </w:r>
    </w:p>
    <w:p w14:paraId="29581498" w14:textId="77777777" w:rsidR="00007D50" w:rsidRPr="006477F3" w:rsidRDefault="00007D50" w:rsidP="0048532C">
      <w:pPr>
        <w:pStyle w:val="Corpotesto"/>
        <w:numPr>
          <w:ilvl w:val="0"/>
          <w:numId w:val="68"/>
        </w:numPr>
        <w:ind w:left="284" w:hanging="284"/>
      </w:pPr>
      <w:r w:rsidRPr="006477F3">
        <w:lastRenderedPageBreak/>
        <w:t>parità</w:t>
      </w:r>
      <w:r w:rsidRPr="006477F3">
        <w:rPr>
          <w:spacing w:val="-5"/>
        </w:rPr>
        <w:t xml:space="preserve"> </w:t>
      </w:r>
      <w:r w:rsidRPr="006477F3">
        <w:t>di</w:t>
      </w:r>
      <w:r w:rsidRPr="006477F3">
        <w:rPr>
          <w:spacing w:val="-2"/>
        </w:rPr>
        <w:t xml:space="preserve"> </w:t>
      </w:r>
      <w:r w:rsidRPr="006477F3">
        <w:t>trattamento</w:t>
      </w:r>
      <w:r w:rsidRPr="006477F3">
        <w:rPr>
          <w:spacing w:val="-3"/>
        </w:rPr>
        <w:t xml:space="preserve"> </w:t>
      </w:r>
      <w:r w:rsidRPr="006477F3">
        <w:t>tra</w:t>
      </w:r>
      <w:r w:rsidRPr="006477F3">
        <w:rPr>
          <w:spacing w:val="-1"/>
        </w:rPr>
        <w:t xml:space="preserve"> </w:t>
      </w:r>
      <w:r w:rsidRPr="006477F3">
        <w:t>gli</w:t>
      </w:r>
      <w:r w:rsidRPr="006477F3">
        <w:rPr>
          <w:spacing w:val="-2"/>
        </w:rPr>
        <w:t xml:space="preserve"> </w:t>
      </w:r>
      <w:r w:rsidRPr="006477F3">
        <w:t>operatori</w:t>
      </w:r>
      <w:r w:rsidRPr="006477F3">
        <w:rPr>
          <w:spacing w:val="-1"/>
        </w:rPr>
        <w:t xml:space="preserve"> </w:t>
      </w:r>
      <w:r w:rsidRPr="006477F3">
        <w:rPr>
          <w:spacing w:val="-2"/>
        </w:rPr>
        <w:t>economici;</w:t>
      </w:r>
    </w:p>
    <w:p w14:paraId="331AD9E5" w14:textId="77777777" w:rsidR="00007D50" w:rsidRPr="006477F3" w:rsidRDefault="00007D50" w:rsidP="0048532C">
      <w:pPr>
        <w:pStyle w:val="Corpotesto"/>
        <w:numPr>
          <w:ilvl w:val="0"/>
          <w:numId w:val="68"/>
        </w:numPr>
        <w:ind w:left="284" w:hanging="284"/>
      </w:pPr>
      <w:r w:rsidRPr="006477F3">
        <w:t>trasparenza</w:t>
      </w:r>
      <w:r w:rsidRPr="006477F3">
        <w:rPr>
          <w:spacing w:val="-3"/>
        </w:rPr>
        <w:t xml:space="preserve"> </w:t>
      </w:r>
      <w:r w:rsidRPr="006477F3">
        <w:t>e</w:t>
      </w:r>
      <w:r w:rsidRPr="006477F3">
        <w:rPr>
          <w:spacing w:val="-2"/>
        </w:rPr>
        <w:t xml:space="preserve"> </w:t>
      </w:r>
      <w:r w:rsidRPr="006477F3">
        <w:t>tracciabilità</w:t>
      </w:r>
      <w:r w:rsidRPr="006477F3">
        <w:rPr>
          <w:spacing w:val="-2"/>
        </w:rPr>
        <w:t xml:space="preserve"> </w:t>
      </w:r>
      <w:r w:rsidRPr="006477F3">
        <w:t>delle</w:t>
      </w:r>
      <w:r w:rsidRPr="006477F3">
        <w:rPr>
          <w:spacing w:val="-2"/>
        </w:rPr>
        <w:t xml:space="preserve"> operazioni;</w:t>
      </w:r>
    </w:p>
    <w:p w14:paraId="2825F564" w14:textId="77777777" w:rsidR="00007D50" w:rsidRPr="006477F3" w:rsidRDefault="00007D50" w:rsidP="0048532C">
      <w:pPr>
        <w:pStyle w:val="Corpotesto"/>
        <w:numPr>
          <w:ilvl w:val="0"/>
          <w:numId w:val="68"/>
        </w:numPr>
        <w:ind w:left="284" w:hanging="284"/>
      </w:pPr>
      <w:r w:rsidRPr="006477F3">
        <w:t>standardizzazione</w:t>
      </w:r>
      <w:r w:rsidRPr="006477F3">
        <w:rPr>
          <w:spacing w:val="-2"/>
        </w:rPr>
        <w:t xml:space="preserve"> </w:t>
      </w:r>
      <w:r w:rsidRPr="006477F3">
        <w:t>dei</w:t>
      </w:r>
      <w:r w:rsidRPr="006477F3">
        <w:rPr>
          <w:spacing w:val="-1"/>
        </w:rPr>
        <w:t xml:space="preserve"> </w:t>
      </w:r>
      <w:r w:rsidRPr="006477F3">
        <w:rPr>
          <w:spacing w:val="-2"/>
        </w:rPr>
        <w:t>documenti;</w:t>
      </w:r>
    </w:p>
    <w:p w14:paraId="5343D6F1" w14:textId="77777777" w:rsidR="00007D50" w:rsidRPr="006477F3" w:rsidRDefault="00007D50" w:rsidP="0048532C">
      <w:pPr>
        <w:pStyle w:val="Corpotesto"/>
        <w:numPr>
          <w:ilvl w:val="0"/>
          <w:numId w:val="68"/>
        </w:numPr>
        <w:ind w:left="284" w:hanging="284"/>
      </w:pPr>
      <w:r w:rsidRPr="006477F3">
        <w:t>comportamento</w:t>
      </w:r>
      <w:r w:rsidRPr="006477F3">
        <w:rPr>
          <w:spacing w:val="-5"/>
        </w:rPr>
        <w:t xml:space="preserve"> </w:t>
      </w:r>
      <w:r w:rsidRPr="006477F3">
        <w:t>secondo</w:t>
      </w:r>
      <w:r w:rsidRPr="006477F3">
        <w:rPr>
          <w:spacing w:val="-2"/>
        </w:rPr>
        <w:t xml:space="preserve"> </w:t>
      </w:r>
      <w:r w:rsidRPr="006477F3">
        <w:t>buona</w:t>
      </w:r>
      <w:r w:rsidRPr="006477F3">
        <w:rPr>
          <w:spacing w:val="-2"/>
        </w:rPr>
        <w:t xml:space="preserve"> </w:t>
      </w:r>
      <w:r w:rsidRPr="006477F3">
        <w:t>fede,</w:t>
      </w:r>
      <w:r w:rsidRPr="006477F3">
        <w:rPr>
          <w:spacing w:val="1"/>
        </w:rPr>
        <w:t xml:space="preserve"> </w:t>
      </w:r>
      <w:r w:rsidRPr="006477F3">
        <w:t>ai</w:t>
      </w:r>
      <w:r w:rsidRPr="006477F3">
        <w:rPr>
          <w:spacing w:val="-2"/>
        </w:rPr>
        <w:t xml:space="preserve"> </w:t>
      </w:r>
      <w:r w:rsidRPr="006477F3">
        <w:t>sensi</w:t>
      </w:r>
      <w:r w:rsidRPr="006477F3">
        <w:rPr>
          <w:spacing w:val="-1"/>
        </w:rPr>
        <w:t xml:space="preserve"> </w:t>
      </w:r>
      <w:r w:rsidRPr="006477F3">
        <w:t>dell’articolo</w:t>
      </w:r>
      <w:r w:rsidRPr="006477F3">
        <w:rPr>
          <w:spacing w:val="-2"/>
        </w:rPr>
        <w:t xml:space="preserve"> </w:t>
      </w:r>
      <w:r w:rsidRPr="006477F3">
        <w:t>1375</w:t>
      </w:r>
      <w:r w:rsidRPr="006477F3">
        <w:rPr>
          <w:spacing w:val="-2"/>
        </w:rPr>
        <w:t xml:space="preserve"> </w:t>
      </w:r>
      <w:r w:rsidRPr="006477F3">
        <w:t>del</w:t>
      </w:r>
      <w:r w:rsidRPr="006477F3">
        <w:rPr>
          <w:spacing w:val="-1"/>
        </w:rPr>
        <w:t xml:space="preserve"> </w:t>
      </w:r>
      <w:r w:rsidRPr="006477F3">
        <w:t>codice</w:t>
      </w:r>
      <w:r w:rsidRPr="006477F3">
        <w:rPr>
          <w:spacing w:val="-2"/>
        </w:rPr>
        <w:t xml:space="preserve"> civile;</w:t>
      </w:r>
    </w:p>
    <w:p w14:paraId="6C99BEAE" w14:textId="77777777" w:rsidR="00007D50" w:rsidRPr="006477F3" w:rsidRDefault="00007D50" w:rsidP="0048532C">
      <w:pPr>
        <w:pStyle w:val="Corpotesto"/>
        <w:numPr>
          <w:ilvl w:val="0"/>
          <w:numId w:val="68"/>
        </w:numPr>
        <w:ind w:left="284" w:hanging="284"/>
      </w:pPr>
      <w:r w:rsidRPr="006477F3">
        <w:t>comportamento</w:t>
      </w:r>
      <w:r w:rsidRPr="006477F3">
        <w:rPr>
          <w:spacing w:val="-5"/>
        </w:rPr>
        <w:t xml:space="preserve"> </w:t>
      </w:r>
      <w:r w:rsidRPr="006477F3">
        <w:t>secondo</w:t>
      </w:r>
      <w:r w:rsidRPr="006477F3">
        <w:rPr>
          <w:spacing w:val="-2"/>
        </w:rPr>
        <w:t xml:space="preserve"> </w:t>
      </w:r>
      <w:r w:rsidRPr="006477F3">
        <w:t>correttezza,</w:t>
      </w:r>
      <w:r w:rsidRPr="006477F3">
        <w:rPr>
          <w:spacing w:val="-3"/>
        </w:rPr>
        <w:t xml:space="preserve"> </w:t>
      </w:r>
      <w:r w:rsidRPr="006477F3">
        <w:t>ai</w:t>
      </w:r>
      <w:r w:rsidRPr="006477F3">
        <w:rPr>
          <w:spacing w:val="-1"/>
        </w:rPr>
        <w:t xml:space="preserve"> </w:t>
      </w:r>
      <w:r w:rsidRPr="006477F3">
        <w:t>sensi</w:t>
      </w:r>
      <w:r w:rsidRPr="006477F3">
        <w:rPr>
          <w:spacing w:val="-2"/>
        </w:rPr>
        <w:t xml:space="preserve"> </w:t>
      </w:r>
      <w:r w:rsidRPr="006477F3">
        <w:t>dell’articolo</w:t>
      </w:r>
      <w:r w:rsidRPr="006477F3">
        <w:rPr>
          <w:spacing w:val="-2"/>
        </w:rPr>
        <w:t xml:space="preserve"> </w:t>
      </w:r>
      <w:r w:rsidRPr="006477F3">
        <w:t>1175</w:t>
      </w:r>
      <w:r w:rsidRPr="006477F3">
        <w:rPr>
          <w:spacing w:val="-3"/>
        </w:rPr>
        <w:t xml:space="preserve"> </w:t>
      </w:r>
      <w:r w:rsidRPr="006477F3">
        <w:t>del</w:t>
      </w:r>
      <w:r w:rsidRPr="006477F3">
        <w:rPr>
          <w:spacing w:val="-1"/>
        </w:rPr>
        <w:t xml:space="preserve"> </w:t>
      </w:r>
      <w:r w:rsidRPr="006477F3">
        <w:t>codice</w:t>
      </w:r>
      <w:r w:rsidRPr="006477F3">
        <w:rPr>
          <w:spacing w:val="-2"/>
        </w:rPr>
        <w:t xml:space="preserve"> civile;</w:t>
      </w:r>
    </w:p>
    <w:p w14:paraId="6134FEF6" w14:textId="77777777" w:rsidR="00007D50" w:rsidRPr="006477F3" w:rsidRDefault="00007D50" w:rsidP="0048532C">
      <w:pPr>
        <w:pStyle w:val="Corpotesto"/>
        <w:numPr>
          <w:ilvl w:val="0"/>
          <w:numId w:val="68"/>
        </w:numPr>
        <w:ind w:left="284" w:hanging="284"/>
      </w:pPr>
      <w:r w:rsidRPr="006477F3">
        <w:t xml:space="preserve">segretezza delle proposte e loro immodificabilità una volta scaduto il termine di presentazione delle </w:t>
      </w:r>
      <w:r w:rsidRPr="006477F3">
        <w:rPr>
          <w:spacing w:val="-2"/>
        </w:rPr>
        <w:t>stesse;</w:t>
      </w:r>
    </w:p>
    <w:p w14:paraId="492616FB" w14:textId="77777777" w:rsidR="00007D50" w:rsidRPr="006477F3" w:rsidRDefault="00007D50" w:rsidP="0048532C">
      <w:pPr>
        <w:pStyle w:val="Corpotesto"/>
        <w:numPr>
          <w:ilvl w:val="0"/>
          <w:numId w:val="68"/>
        </w:numPr>
        <w:ind w:left="284" w:hanging="284"/>
      </w:pPr>
      <w:r w:rsidRPr="006477F3">
        <w:t>gratuità. Nessun corrispettivo è dovuto dall’operatore economico e/o dall’aggiudicatario per il mero utilizzo della Piattaforma.</w:t>
      </w:r>
    </w:p>
    <w:p w14:paraId="554C7F70" w14:textId="77777777" w:rsidR="00007D50" w:rsidRPr="00BB024E" w:rsidRDefault="00007D50" w:rsidP="00BB024E">
      <w:pPr>
        <w:pStyle w:val="Corpotesto"/>
        <w:spacing w:before="77"/>
        <w:ind w:left="0"/>
        <w:rPr>
          <w:rFonts w:asciiTheme="majorHAnsi" w:hAnsiTheme="majorHAnsi" w:cstheme="majorHAnsi"/>
          <w:color w:val="221F1F"/>
        </w:rPr>
      </w:pPr>
      <w:r w:rsidRPr="006477F3">
        <w:rPr>
          <w:rFonts w:asciiTheme="majorHAnsi" w:hAnsiTheme="majorHAnsi" w:cstheme="majorHAnsi"/>
          <w:color w:val="221F1F"/>
        </w:rPr>
        <w:t>La Stazione appaltante non assume alcuna responsabilità per perdita di documenti e dati, danneggiamento</w:t>
      </w:r>
      <w:r w:rsidRPr="00BB024E">
        <w:rPr>
          <w:rFonts w:asciiTheme="majorHAnsi" w:hAnsiTheme="majorHAnsi" w:cstheme="majorHAnsi"/>
          <w:color w:val="221F1F"/>
        </w:rPr>
        <w:t xml:space="preserve"> </w:t>
      </w:r>
      <w:r w:rsidRPr="006477F3">
        <w:rPr>
          <w:rFonts w:asciiTheme="majorHAnsi" w:hAnsiTheme="majorHAnsi" w:cstheme="majorHAnsi"/>
          <w:color w:val="221F1F"/>
        </w:rPr>
        <w:t>di</w:t>
      </w:r>
      <w:r w:rsidRPr="00BB024E">
        <w:rPr>
          <w:rFonts w:asciiTheme="majorHAnsi" w:hAnsiTheme="majorHAnsi" w:cstheme="majorHAnsi"/>
          <w:color w:val="221F1F"/>
        </w:rPr>
        <w:t xml:space="preserve"> </w:t>
      </w:r>
      <w:r w:rsidRPr="006477F3">
        <w:rPr>
          <w:rFonts w:asciiTheme="majorHAnsi" w:hAnsiTheme="majorHAnsi" w:cstheme="majorHAnsi"/>
          <w:color w:val="221F1F"/>
        </w:rPr>
        <w:t>file</w:t>
      </w:r>
      <w:r w:rsidRPr="00BB024E">
        <w:rPr>
          <w:rFonts w:asciiTheme="majorHAnsi" w:hAnsiTheme="majorHAnsi" w:cstheme="majorHAnsi"/>
          <w:color w:val="221F1F"/>
        </w:rPr>
        <w:t xml:space="preserve"> </w:t>
      </w:r>
      <w:r w:rsidRPr="006477F3">
        <w:rPr>
          <w:rFonts w:asciiTheme="majorHAnsi" w:hAnsiTheme="majorHAnsi" w:cstheme="majorHAnsi"/>
          <w:color w:val="221F1F"/>
        </w:rPr>
        <w:t>e</w:t>
      </w:r>
      <w:r w:rsidRPr="00BB024E">
        <w:rPr>
          <w:rFonts w:asciiTheme="majorHAnsi" w:hAnsiTheme="majorHAnsi" w:cstheme="majorHAnsi"/>
          <w:color w:val="221F1F"/>
        </w:rPr>
        <w:t xml:space="preserve"> </w:t>
      </w:r>
      <w:r w:rsidRPr="006477F3">
        <w:rPr>
          <w:rFonts w:asciiTheme="majorHAnsi" w:hAnsiTheme="majorHAnsi" w:cstheme="majorHAnsi"/>
          <w:color w:val="221F1F"/>
        </w:rPr>
        <w:t>documenti,</w:t>
      </w:r>
      <w:r w:rsidRPr="00BB024E">
        <w:rPr>
          <w:rFonts w:asciiTheme="majorHAnsi" w:hAnsiTheme="majorHAnsi" w:cstheme="majorHAnsi"/>
          <w:color w:val="221F1F"/>
        </w:rPr>
        <w:t xml:space="preserve"> </w:t>
      </w:r>
      <w:r w:rsidRPr="006477F3">
        <w:rPr>
          <w:rFonts w:asciiTheme="majorHAnsi" w:hAnsiTheme="majorHAnsi" w:cstheme="majorHAnsi"/>
          <w:color w:val="221F1F"/>
        </w:rPr>
        <w:t>ritardi</w:t>
      </w:r>
      <w:r w:rsidRPr="00BB024E">
        <w:rPr>
          <w:rFonts w:asciiTheme="majorHAnsi" w:hAnsiTheme="majorHAnsi" w:cstheme="majorHAnsi"/>
          <w:color w:val="221F1F"/>
        </w:rPr>
        <w:t xml:space="preserve"> </w:t>
      </w:r>
      <w:r w:rsidRPr="006477F3">
        <w:rPr>
          <w:rFonts w:asciiTheme="majorHAnsi" w:hAnsiTheme="majorHAnsi" w:cstheme="majorHAnsi"/>
          <w:color w:val="221F1F"/>
        </w:rPr>
        <w:t>nell’inserimento</w:t>
      </w:r>
      <w:r w:rsidRPr="00BB024E">
        <w:rPr>
          <w:rFonts w:asciiTheme="majorHAnsi" w:hAnsiTheme="majorHAnsi" w:cstheme="majorHAnsi"/>
          <w:color w:val="221F1F"/>
        </w:rPr>
        <w:t xml:space="preserve"> </w:t>
      </w:r>
      <w:r w:rsidRPr="006477F3">
        <w:rPr>
          <w:rFonts w:asciiTheme="majorHAnsi" w:hAnsiTheme="majorHAnsi" w:cstheme="majorHAnsi"/>
          <w:color w:val="221F1F"/>
        </w:rPr>
        <w:t>di</w:t>
      </w:r>
      <w:r w:rsidRPr="00BB024E">
        <w:rPr>
          <w:rFonts w:asciiTheme="majorHAnsi" w:hAnsiTheme="majorHAnsi" w:cstheme="majorHAnsi"/>
          <w:color w:val="221F1F"/>
        </w:rPr>
        <w:t xml:space="preserve"> </w:t>
      </w:r>
      <w:r w:rsidRPr="006477F3">
        <w:rPr>
          <w:rFonts w:asciiTheme="majorHAnsi" w:hAnsiTheme="majorHAnsi" w:cstheme="majorHAnsi"/>
          <w:color w:val="221F1F"/>
        </w:rPr>
        <w:t>dati,</w:t>
      </w:r>
      <w:r w:rsidRPr="00BB024E">
        <w:rPr>
          <w:rFonts w:asciiTheme="majorHAnsi" w:hAnsiTheme="majorHAnsi" w:cstheme="majorHAnsi"/>
          <w:color w:val="221F1F"/>
        </w:rPr>
        <w:t xml:space="preserve"> </w:t>
      </w:r>
      <w:r w:rsidRPr="006477F3">
        <w:rPr>
          <w:rFonts w:asciiTheme="majorHAnsi" w:hAnsiTheme="majorHAnsi" w:cstheme="majorHAnsi"/>
          <w:color w:val="221F1F"/>
        </w:rPr>
        <w:t>documenti</w:t>
      </w:r>
      <w:r w:rsidRPr="00BB024E">
        <w:rPr>
          <w:rFonts w:asciiTheme="majorHAnsi" w:hAnsiTheme="majorHAnsi" w:cstheme="majorHAnsi"/>
          <w:color w:val="221F1F"/>
        </w:rPr>
        <w:t xml:space="preserve"> </w:t>
      </w:r>
      <w:r w:rsidRPr="006477F3">
        <w:rPr>
          <w:rFonts w:asciiTheme="majorHAnsi" w:hAnsiTheme="majorHAnsi" w:cstheme="majorHAnsi"/>
          <w:color w:val="221F1F"/>
        </w:rPr>
        <w:t>e/o</w:t>
      </w:r>
      <w:r w:rsidRPr="00BB024E">
        <w:rPr>
          <w:rFonts w:asciiTheme="majorHAnsi" w:hAnsiTheme="majorHAnsi" w:cstheme="majorHAnsi"/>
          <w:color w:val="221F1F"/>
        </w:rPr>
        <w:t xml:space="preserve"> </w:t>
      </w:r>
      <w:r w:rsidRPr="006477F3">
        <w:rPr>
          <w:rFonts w:asciiTheme="majorHAnsi" w:hAnsiTheme="majorHAnsi" w:cstheme="majorHAnsi"/>
          <w:color w:val="221F1F"/>
        </w:rPr>
        <w:t>nella</w:t>
      </w:r>
      <w:r w:rsidRPr="00BB024E">
        <w:rPr>
          <w:rFonts w:asciiTheme="majorHAnsi" w:hAnsiTheme="majorHAnsi" w:cstheme="majorHAnsi"/>
          <w:color w:val="221F1F"/>
        </w:rPr>
        <w:t xml:space="preserve"> </w:t>
      </w:r>
      <w:r w:rsidRPr="006477F3">
        <w:rPr>
          <w:rFonts w:asciiTheme="majorHAnsi" w:hAnsiTheme="majorHAnsi" w:cstheme="majorHAnsi"/>
          <w:color w:val="221F1F"/>
        </w:rPr>
        <w:t>presentazione della documentazione, malfunzionamento, danni, pregiudizi derivanti all’operatore economico, da:</w:t>
      </w:r>
    </w:p>
    <w:p w14:paraId="72C1C6DF" w14:textId="77777777" w:rsidR="00007D50" w:rsidRPr="006477F3" w:rsidRDefault="00007D50" w:rsidP="0048532C">
      <w:pPr>
        <w:pStyle w:val="Corpotesto"/>
        <w:numPr>
          <w:ilvl w:val="0"/>
          <w:numId w:val="67"/>
        </w:numPr>
        <w:ind w:left="284" w:hanging="284"/>
      </w:pPr>
      <w:r w:rsidRPr="006477F3">
        <w:t>difetti di funzionamento delle apparecchiature e dei sistemi di collegamento e programmi impiegati dal singolo operatore economico per il collegamento alla Piattaforma;</w:t>
      </w:r>
    </w:p>
    <w:p w14:paraId="0EF75B64" w14:textId="3BA7794E" w:rsidR="00007D50" w:rsidRPr="006477F3" w:rsidRDefault="00007D50" w:rsidP="0048532C">
      <w:pPr>
        <w:pStyle w:val="Corpotesto"/>
        <w:numPr>
          <w:ilvl w:val="0"/>
          <w:numId w:val="67"/>
        </w:numPr>
        <w:ind w:left="284" w:hanging="284"/>
      </w:pPr>
      <w:r w:rsidRPr="006477F3">
        <w:t xml:space="preserve">utilizzo della Piattaforma da parte dell’operatore economico in maniera non conforme al presente documento e a quanto previsto nel documento denominato </w:t>
      </w:r>
      <w:r w:rsidR="00BB024E">
        <w:t>“</w:t>
      </w:r>
      <w:r w:rsidRPr="006477F3">
        <w:t>Modalità tecniche per l’utilizzo della piattaforma Sintel” e nelle guide ivi richiamate.</w:t>
      </w:r>
    </w:p>
    <w:p w14:paraId="5E7E96D3" w14:textId="3D00BDFB" w:rsidR="00613EA3" w:rsidRPr="00BB024E" w:rsidRDefault="00007D50" w:rsidP="00BB024E">
      <w:pPr>
        <w:pStyle w:val="Corpotesto"/>
        <w:spacing w:before="77"/>
        <w:ind w:left="0"/>
        <w:rPr>
          <w:rFonts w:asciiTheme="majorHAnsi" w:hAnsiTheme="majorHAnsi" w:cstheme="majorHAnsi"/>
          <w:color w:val="221F1F"/>
        </w:rPr>
      </w:pPr>
      <w:r w:rsidRPr="006477F3">
        <w:rPr>
          <w:rFonts w:asciiTheme="majorHAnsi" w:hAnsiTheme="majorHAnsi" w:cstheme="majorHAnsi"/>
          <w:color w:val="221F1F"/>
        </w:rPr>
        <w:t>In caso di mancato funzionamento della Piattaforma o di malfunzionamento della stessa, non dovuti alle</w:t>
      </w:r>
      <w:r w:rsidRPr="00BB024E">
        <w:rPr>
          <w:rFonts w:asciiTheme="majorHAnsi" w:hAnsiTheme="majorHAnsi" w:cstheme="majorHAnsi"/>
          <w:color w:val="221F1F"/>
        </w:rPr>
        <w:t xml:space="preserve"> </w:t>
      </w:r>
      <w:r w:rsidRPr="006477F3">
        <w:rPr>
          <w:rFonts w:asciiTheme="majorHAnsi" w:hAnsiTheme="majorHAnsi" w:cstheme="majorHAnsi"/>
          <w:color w:val="221F1F"/>
        </w:rPr>
        <w:t>predette</w:t>
      </w:r>
      <w:r w:rsidRPr="00BB024E">
        <w:rPr>
          <w:rFonts w:asciiTheme="majorHAnsi" w:hAnsiTheme="majorHAnsi" w:cstheme="majorHAnsi"/>
          <w:color w:val="221F1F"/>
        </w:rPr>
        <w:t xml:space="preserve"> </w:t>
      </w:r>
      <w:r w:rsidRPr="006477F3">
        <w:rPr>
          <w:rFonts w:asciiTheme="majorHAnsi" w:hAnsiTheme="majorHAnsi" w:cstheme="majorHAnsi"/>
          <w:color w:val="221F1F"/>
        </w:rPr>
        <w:t>circostanze,</w:t>
      </w:r>
      <w:r w:rsidRPr="00BB024E">
        <w:rPr>
          <w:rFonts w:asciiTheme="majorHAnsi" w:hAnsiTheme="majorHAnsi" w:cstheme="majorHAnsi"/>
          <w:color w:val="221F1F"/>
        </w:rPr>
        <w:t xml:space="preserve"> </w:t>
      </w:r>
      <w:r w:rsidRPr="006477F3">
        <w:rPr>
          <w:rFonts w:asciiTheme="majorHAnsi" w:hAnsiTheme="majorHAnsi" w:cstheme="majorHAnsi"/>
          <w:color w:val="221F1F"/>
        </w:rPr>
        <w:t>che</w:t>
      </w:r>
      <w:r w:rsidRPr="00BB024E">
        <w:rPr>
          <w:rFonts w:asciiTheme="majorHAnsi" w:hAnsiTheme="majorHAnsi" w:cstheme="majorHAnsi"/>
          <w:color w:val="221F1F"/>
        </w:rPr>
        <w:t xml:space="preserve"> </w:t>
      </w:r>
      <w:r w:rsidRPr="006477F3">
        <w:rPr>
          <w:rFonts w:asciiTheme="majorHAnsi" w:hAnsiTheme="majorHAnsi" w:cstheme="majorHAnsi"/>
          <w:color w:val="221F1F"/>
        </w:rPr>
        <w:t>impediscono</w:t>
      </w:r>
      <w:r w:rsidRPr="00BB024E">
        <w:rPr>
          <w:rFonts w:asciiTheme="majorHAnsi" w:hAnsiTheme="majorHAnsi" w:cstheme="majorHAnsi"/>
          <w:color w:val="221F1F"/>
        </w:rPr>
        <w:t xml:space="preserve"> </w:t>
      </w:r>
      <w:r w:rsidRPr="006477F3">
        <w:rPr>
          <w:rFonts w:asciiTheme="majorHAnsi" w:hAnsiTheme="majorHAnsi" w:cstheme="majorHAnsi"/>
          <w:color w:val="221F1F"/>
        </w:rPr>
        <w:t>la</w:t>
      </w:r>
      <w:r w:rsidRPr="00BB024E">
        <w:rPr>
          <w:rFonts w:asciiTheme="majorHAnsi" w:hAnsiTheme="majorHAnsi" w:cstheme="majorHAnsi"/>
          <w:color w:val="221F1F"/>
        </w:rPr>
        <w:t xml:space="preserve"> </w:t>
      </w:r>
      <w:r w:rsidRPr="006477F3">
        <w:rPr>
          <w:rFonts w:asciiTheme="majorHAnsi" w:hAnsiTheme="majorHAnsi" w:cstheme="majorHAnsi"/>
          <w:color w:val="221F1F"/>
        </w:rPr>
        <w:t>corretta</w:t>
      </w:r>
      <w:r w:rsidRPr="00BB024E">
        <w:rPr>
          <w:rFonts w:asciiTheme="majorHAnsi" w:hAnsiTheme="majorHAnsi" w:cstheme="majorHAnsi"/>
          <w:color w:val="221F1F"/>
        </w:rPr>
        <w:t xml:space="preserve"> </w:t>
      </w:r>
      <w:r w:rsidRPr="006477F3">
        <w:rPr>
          <w:rFonts w:asciiTheme="majorHAnsi" w:hAnsiTheme="majorHAnsi" w:cstheme="majorHAnsi"/>
          <w:color w:val="221F1F"/>
        </w:rPr>
        <w:t>presentazione</w:t>
      </w:r>
      <w:r w:rsidRPr="00BB024E">
        <w:rPr>
          <w:rFonts w:asciiTheme="majorHAnsi" w:hAnsiTheme="majorHAnsi" w:cstheme="majorHAnsi"/>
          <w:color w:val="221F1F"/>
        </w:rPr>
        <w:t xml:space="preserve"> </w:t>
      </w:r>
      <w:r w:rsidRPr="006477F3">
        <w:rPr>
          <w:rFonts w:asciiTheme="majorHAnsi" w:hAnsiTheme="majorHAnsi" w:cstheme="majorHAnsi"/>
          <w:color w:val="221F1F"/>
        </w:rPr>
        <w:t>delle</w:t>
      </w:r>
      <w:r w:rsidRPr="00BB024E">
        <w:rPr>
          <w:rFonts w:asciiTheme="majorHAnsi" w:hAnsiTheme="majorHAnsi" w:cstheme="majorHAnsi"/>
          <w:color w:val="221F1F"/>
        </w:rPr>
        <w:t xml:space="preserve"> </w:t>
      </w:r>
      <w:r w:rsidRPr="006477F3">
        <w:rPr>
          <w:rFonts w:asciiTheme="majorHAnsi" w:hAnsiTheme="majorHAnsi" w:cstheme="majorHAnsi"/>
          <w:color w:val="221F1F"/>
        </w:rPr>
        <w:t>proposte,</w:t>
      </w:r>
      <w:r w:rsidRPr="00BB024E">
        <w:rPr>
          <w:rFonts w:asciiTheme="majorHAnsi" w:hAnsiTheme="majorHAnsi" w:cstheme="majorHAnsi"/>
          <w:color w:val="221F1F"/>
        </w:rPr>
        <w:t xml:space="preserve"> </w:t>
      </w:r>
      <w:r w:rsidRPr="006477F3">
        <w:rPr>
          <w:rFonts w:asciiTheme="majorHAnsi" w:hAnsiTheme="majorHAnsi" w:cstheme="majorHAnsi"/>
          <w:color w:val="221F1F"/>
        </w:rPr>
        <w:t>al</w:t>
      </w:r>
      <w:r w:rsidRPr="00BB024E">
        <w:rPr>
          <w:rFonts w:asciiTheme="majorHAnsi" w:hAnsiTheme="majorHAnsi" w:cstheme="majorHAnsi"/>
          <w:color w:val="221F1F"/>
        </w:rPr>
        <w:t xml:space="preserve"> </w:t>
      </w:r>
      <w:r w:rsidRPr="006477F3">
        <w:rPr>
          <w:rFonts w:asciiTheme="majorHAnsi" w:hAnsiTheme="majorHAnsi" w:cstheme="majorHAnsi"/>
          <w:color w:val="221F1F"/>
        </w:rPr>
        <w:t>fine</w:t>
      </w:r>
      <w:r w:rsidRPr="00BB024E">
        <w:rPr>
          <w:rFonts w:asciiTheme="majorHAnsi" w:hAnsiTheme="majorHAnsi" w:cstheme="majorHAnsi"/>
          <w:color w:val="221F1F"/>
        </w:rPr>
        <w:t xml:space="preserve"> </w:t>
      </w:r>
      <w:r w:rsidRPr="006477F3">
        <w:rPr>
          <w:rFonts w:asciiTheme="majorHAnsi" w:hAnsiTheme="majorHAnsi" w:cstheme="majorHAnsi"/>
          <w:color w:val="221F1F"/>
        </w:rPr>
        <w:t>di</w:t>
      </w:r>
      <w:r w:rsidRPr="00BB024E">
        <w:rPr>
          <w:rFonts w:asciiTheme="majorHAnsi" w:hAnsiTheme="majorHAnsi" w:cstheme="majorHAnsi"/>
          <w:color w:val="221F1F"/>
        </w:rPr>
        <w:t xml:space="preserve"> </w:t>
      </w:r>
      <w:r w:rsidRPr="006477F3">
        <w:rPr>
          <w:rFonts w:asciiTheme="majorHAnsi" w:hAnsiTheme="majorHAnsi" w:cstheme="majorHAnsi"/>
          <w:color w:val="221F1F"/>
        </w:rPr>
        <w:t>assicurare la massima partecipazione, la stazione appaltante può disporre la sospensione del termine di presentazione</w:t>
      </w:r>
      <w:r w:rsidRPr="00BB024E">
        <w:rPr>
          <w:rFonts w:asciiTheme="majorHAnsi" w:hAnsiTheme="majorHAnsi" w:cstheme="majorHAnsi"/>
          <w:color w:val="221F1F"/>
        </w:rPr>
        <w:t xml:space="preserve"> </w:t>
      </w:r>
      <w:r w:rsidRPr="006477F3">
        <w:rPr>
          <w:rFonts w:asciiTheme="majorHAnsi" w:hAnsiTheme="majorHAnsi" w:cstheme="majorHAnsi"/>
          <w:color w:val="221F1F"/>
        </w:rPr>
        <w:t>delle</w:t>
      </w:r>
      <w:r w:rsidRPr="00BB024E">
        <w:rPr>
          <w:rFonts w:asciiTheme="majorHAnsi" w:hAnsiTheme="majorHAnsi" w:cstheme="majorHAnsi"/>
          <w:color w:val="221F1F"/>
        </w:rPr>
        <w:t xml:space="preserve"> </w:t>
      </w:r>
      <w:r w:rsidRPr="006477F3">
        <w:rPr>
          <w:rFonts w:asciiTheme="majorHAnsi" w:hAnsiTheme="majorHAnsi" w:cstheme="majorHAnsi"/>
          <w:color w:val="221F1F"/>
        </w:rPr>
        <w:t>offerte</w:t>
      </w:r>
      <w:r w:rsidRPr="00BB024E">
        <w:rPr>
          <w:rFonts w:asciiTheme="majorHAnsi" w:hAnsiTheme="majorHAnsi" w:cstheme="majorHAnsi"/>
          <w:color w:val="221F1F"/>
        </w:rPr>
        <w:t xml:space="preserve"> </w:t>
      </w:r>
      <w:r w:rsidRPr="006477F3">
        <w:rPr>
          <w:rFonts w:asciiTheme="majorHAnsi" w:hAnsiTheme="majorHAnsi" w:cstheme="majorHAnsi"/>
          <w:color w:val="221F1F"/>
        </w:rPr>
        <w:t>per</w:t>
      </w:r>
      <w:r w:rsidRPr="00BB024E">
        <w:rPr>
          <w:rFonts w:asciiTheme="majorHAnsi" w:hAnsiTheme="majorHAnsi" w:cstheme="majorHAnsi"/>
          <w:color w:val="221F1F"/>
        </w:rPr>
        <w:t xml:space="preserve"> </w:t>
      </w:r>
      <w:r w:rsidRPr="006477F3">
        <w:rPr>
          <w:rFonts w:asciiTheme="majorHAnsi" w:hAnsiTheme="majorHAnsi" w:cstheme="majorHAnsi"/>
          <w:color w:val="221F1F"/>
        </w:rPr>
        <w:t>un</w:t>
      </w:r>
      <w:r w:rsidRPr="00BB024E">
        <w:rPr>
          <w:rFonts w:asciiTheme="majorHAnsi" w:hAnsiTheme="majorHAnsi" w:cstheme="majorHAnsi"/>
          <w:color w:val="221F1F"/>
        </w:rPr>
        <w:t xml:space="preserve"> </w:t>
      </w:r>
      <w:r w:rsidRPr="006477F3">
        <w:rPr>
          <w:rFonts w:asciiTheme="majorHAnsi" w:hAnsiTheme="majorHAnsi" w:cstheme="majorHAnsi"/>
          <w:color w:val="221F1F"/>
        </w:rPr>
        <w:t>periodo</w:t>
      </w:r>
      <w:r w:rsidRPr="00BB024E">
        <w:rPr>
          <w:rFonts w:asciiTheme="majorHAnsi" w:hAnsiTheme="majorHAnsi" w:cstheme="majorHAnsi"/>
          <w:color w:val="221F1F"/>
        </w:rPr>
        <w:t xml:space="preserve"> </w:t>
      </w:r>
      <w:r w:rsidRPr="006477F3">
        <w:rPr>
          <w:rFonts w:asciiTheme="majorHAnsi" w:hAnsiTheme="majorHAnsi" w:cstheme="majorHAnsi"/>
          <w:color w:val="221F1F"/>
        </w:rPr>
        <w:t>di</w:t>
      </w:r>
      <w:r w:rsidRPr="00BB024E">
        <w:rPr>
          <w:rFonts w:asciiTheme="majorHAnsi" w:hAnsiTheme="majorHAnsi" w:cstheme="majorHAnsi"/>
          <w:color w:val="221F1F"/>
        </w:rPr>
        <w:t xml:space="preserve"> </w:t>
      </w:r>
      <w:r w:rsidRPr="006477F3">
        <w:rPr>
          <w:rFonts w:asciiTheme="majorHAnsi" w:hAnsiTheme="majorHAnsi" w:cstheme="majorHAnsi"/>
          <w:color w:val="221F1F"/>
        </w:rPr>
        <w:t>tempo</w:t>
      </w:r>
      <w:r w:rsidRPr="00BB024E">
        <w:rPr>
          <w:rFonts w:asciiTheme="majorHAnsi" w:hAnsiTheme="majorHAnsi" w:cstheme="majorHAnsi"/>
          <w:color w:val="221F1F"/>
        </w:rPr>
        <w:t xml:space="preserve"> </w:t>
      </w:r>
      <w:r w:rsidRPr="006477F3">
        <w:rPr>
          <w:rFonts w:asciiTheme="majorHAnsi" w:hAnsiTheme="majorHAnsi" w:cstheme="majorHAnsi"/>
          <w:color w:val="221F1F"/>
        </w:rPr>
        <w:t>necessario</w:t>
      </w:r>
      <w:r w:rsidRPr="00BB024E">
        <w:rPr>
          <w:rFonts w:asciiTheme="majorHAnsi" w:hAnsiTheme="majorHAnsi" w:cstheme="majorHAnsi"/>
          <w:color w:val="221F1F"/>
        </w:rPr>
        <w:t xml:space="preserve"> </w:t>
      </w:r>
      <w:r w:rsidRPr="006477F3">
        <w:rPr>
          <w:rFonts w:asciiTheme="majorHAnsi" w:hAnsiTheme="majorHAnsi" w:cstheme="majorHAnsi"/>
          <w:color w:val="221F1F"/>
        </w:rPr>
        <w:t>a</w:t>
      </w:r>
      <w:r w:rsidRPr="00BB024E">
        <w:rPr>
          <w:rFonts w:asciiTheme="majorHAnsi" w:hAnsiTheme="majorHAnsi" w:cstheme="majorHAnsi"/>
          <w:color w:val="221F1F"/>
        </w:rPr>
        <w:t xml:space="preserve"> </w:t>
      </w:r>
      <w:r w:rsidRPr="006477F3">
        <w:rPr>
          <w:rFonts w:asciiTheme="majorHAnsi" w:hAnsiTheme="majorHAnsi" w:cstheme="majorHAnsi"/>
          <w:color w:val="221F1F"/>
        </w:rPr>
        <w:t>ripristinare</w:t>
      </w:r>
      <w:r w:rsidRPr="00BB024E">
        <w:rPr>
          <w:rFonts w:asciiTheme="majorHAnsi" w:hAnsiTheme="majorHAnsi" w:cstheme="majorHAnsi"/>
          <w:color w:val="221F1F"/>
        </w:rPr>
        <w:t xml:space="preserve"> </w:t>
      </w:r>
      <w:r w:rsidRPr="006477F3">
        <w:rPr>
          <w:rFonts w:asciiTheme="majorHAnsi" w:hAnsiTheme="majorHAnsi" w:cstheme="majorHAnsi"/>
          <w:color w:val="221F1F"/>
        </w:rPr>
        <w:t>il</w:t>
      </w:r>
      <w:r w:rsidRPr="00BB024E">
        <w:rPr>
          <w:rFonts w:asciiTheme="majorHAnsi" w:hAnsiTheme="majorHAnsi" w:cstheme="majorHAnsi"/>
          <w:color w:val="221F1F"/>
        </w:rPr>
        <w:t xml:space="preserve"> </w:t>
      </w:r>
      <w:r w:rsidRPr="006477F3">
        <w:rPr>
          <w:rFonts w:asciiTheme="majorHAnsi" w:hAnsiTheme="majorHAnsi" w:cstheme="majorHAnsi"/>
          <w:color w:val="221F1F"/>
        </w:rPr>
        <w:t>normale</w:t>
      </w:r>
      <w:r w:rsidRPr="00BB024E">
        <w:rPr>
          <w:rFonts w:asciiTheme="majorHAnsi" w:hAnsiTheme="majorHAnsi" w:cstheme="majorHAnsi"/>
          <w:color w:val="221F1F"/>
        </w:rPr>
        <w:t xml:space="preserve"> </w:t>
      </w:r>
      <w:r w:rsidRPr="006477F3">
        <w:rPr>
          <w:rFonts w:asciiTheme="majorHAnsi" w:hAnsiTheme="majorHAnsi" w:cstheme="majorHAnsi"/>
          <w:color w:val="221F1F"/>
        </w:rPr>
        <w:t>funzionamento della</w:t>
      </w:r>
      <w:r w:rsidRPr="00BB024E">
        <w:rPr>
          <w:rFonts w:asciiTheme="majorHAnsi" w:hAnsiTheme="majorHAnsi" w:cstheme="majorHAnsi"/>
          <w:color w:val="221F1F"/>
        </w:rPr>
        <w:t xml:space="preserve"> </w:t>
      </w:r>
      <w:r w:rsidRPr="006477F3">
        <w:rPr>
          <w:rFonts w:asciiTheme="majorHAnsi" w:hAnsiTheme="majorHAnsi" w:cstheme="majorHAnsi"/>
          <w:color w:val="221F1F"/>
        </w:rPr>
        <w:t>Piattaforma</w:t>
      </w:r>
      <w:r w:rsidRPr="00BB024E">
        <w:rPr>
          <w:rFonts w:asciiTheme="majorHAnsi" w:hAnsiTheme="majorHAnsi" w:cstheme="majorHAnsi"/>
          <w:color w:val="221F1F"/>
        </w:rPr>
        <w:t xml:space="preserve"> </w:t>
      </w:r>
      <w:r w:rsidRPr="006477F3">
        <w:rPr>
          <w:rFonts w:asciiTheme="majorHAnsi" w:hAnsiTheme="majorHAnsi" w:cstheme="majorHAnsi"/>
          <w:color w:val="221F1F"/>
        </w:rPr>
        <w:t>e</w:t>
      </w:r>
      <w:r w:rsidRPr="00BB024E">
        <w:rPr>
          <w:rFonts w:asciiTheme="majorHAnsi" w:hAnsiTheme="majorHAnsi" w:cstheme="majorHAnsi"/>
          <w:color w:val="221F1F"/>
        </w:rPr>
        <w:t xml:space="preserve"> </w:t>
      </w:r>
      <w:r w:rsidRPr="006477F3">
        <w:rPr>
          <w:rFonts w:asciiTheme="majorHAnsi" w:hAnsiTheme="majorHAnsi" w:cstheme="majorHAnsi"/>
          <w:color w:val="221F1F"/>
        </w:rPr>
        <w:t>la</w:t>
      </w:r>
      <w:r w:rsidRPr="00BB024E">
        <w:rPr>
          <w:rFonts w:asciiTheme="majorHAnsi" w:hAnsiTheme="majorHAnsi" w:cstheme="majorHAnsi"/>
          <w:color w:val="221F1F"/>
        </w:rPr>
        <w:t xml:space="preserve"> </w:t>
      </w:r>
      <w:r w:rsidRPr="006477F3">
        <w:rPr>
          <w:rFonts w:asciiTheme="majorHAnsi" w:hAnsiTheme="majorHAnsi" w:cstheme="majorHAnsi"/>
          <w:color w:val="221F1F"/>
        </w:rPr>
        <w:t>proroga</w:t>
      </w:r>
      <w:r w:rsidRPr="00BB024E">
        <w:rPr>
          <w:rFonts w:asciiTheme="majorHAnsi" w:hAnsiTheme="majorHAnsi" w:cstheme="majorHAnsi"/>
          <w:color w:val="221F1F"/>
        </w:rPr>
        <w:t xml:space="preserve"> </w:t>
      </w:r>
      <w:r w:rsidRPr="006477F3">
        <w:rPr>
          <w:rFonts w:asciiTheme="majorHAnsi" w:hAnsiTheme="majorHAnsi" w:cstheme="majorHAnsi"/>
          <w:color w:val="221F1F"/>
        </w:rPr>
        <w:t>dello stesso per</w:t>
      </w:r>
      <w:r w:rsidRPr="00BB024E">
        <w:rPr>
          <w:rFonts w:asciiTheme="majorHAnsi" w:hAnsiTheme="majorHAnsi" w:cstheme="majorHAnsi"/>
          <w:color w:val="221F1F"/>
        </w:rPr>
        <w:t xml:space="preserve"> </w:t>
      </w:r>
      <w:r w:rsidRPr="006477F3">
        <w:rPr>
          <w:rFonts w:asciiTheme="majorHAnsi" w:hAnsiTheme="majorHAnsi" w:cstheme="majorHAnsi"/>
          <w:color w:val="221F1F"/>
        </w:rPr>
        <w:t>una durata</w:t>
      </w:r>
      <w:r w:rsidRPr="00BB024E">
        <w:rPr>
          <w:rFonts w:asciiTheme="majorHAnsi" w:hAnsiTheme="majorHAnsi" w:cstheme="majorHAnsi"/>
          <w:color w:val="221F1F"/>
        </w:rPr>
        <w:t xml:space="preserve"> </w:t>
      </w:r>
      <w:r w:rsidRPr="006477F3">
        <w:rPr>
          <w:rFonts w:asciiTheme="majorHAnsi" w:hAnsiTheme="majorHAnsi" w:cstheme="majorHAnsi"/>
          <w:color w:val="221F1F"/>
        </w:rPr>
        <w:t>proporzionale alla durata</w:t>
      </w:r>
      <w:r w:rsidRPr="00BB024E">
        <w:rPr>
          <w:rFonts w:asciiTheme="majorHAnsi" w:hAnsiTheme="majorHAnsi" w:cstheme="majorHAnsi"/>
          <w:color w:val="221F1F"/>
        </w:rPr>
        <w:t xml:space="preserve"> </w:t>
      </w:r>
      <w:r w:rsidRPr="006477F3">
        <w:rPr>
          <w:rFonts w:asciiTheme="majorHAnsi" w:hAnsiTheme="majorHAnsi" w:cstheme="majorHAnsi"/>
          <w:color w:val="221F1F"/>
        </w:rPr>
        <w:t>del mancato o non corretto funzionamento, tenuto conto della gravità dello stesso, ovvero, se del caso, può disporre di proseguire la procedura in altra modalità, dandone tempestiva comunicazione nella sezione dedicata alla</w:t>
      </w:r>
      <w:r w:rsidRPr="00BB024E">
        <w:rPr>
          <w:rFonts w:asciiTheme="majorHAnsi" w:hAnsiTheme="majorHAnsi" w:cstheme="majorHAnsi"/>
          <w:color w:val="221F1F"/>
        </w:rPr>
        <w:t xml:space="preserve"> </w:t>
      </w:r>
      <w:r w:rsidRPr="006477F3">
        <w:rPr>
          <w:rFonts w:asciiTheme="majorHAnsi" w:hAnsiTheme="majorHAnsi" w:cstheme="majorHAnsi"/>
          <w:color w:val="221F1F"/>
        </w:rPr>
        <w:t>procedura</w:t>
      </w:r>
      <w:r w:rsidRPr="00BB024E">
        <w:rPr>
          <w:rFonts w:asciiTheme="majorHAnsi" w:hAnsiTheme="majorHAnsi" w:cstheme="majorHAnsi"/>
          <w:color w:val="221F1F"/>
        </w:rPr>
        <w:t xml:space="preserve"> </w:t>
      </w:r>
      <w:r w:rsidRPr="006477F3">
        <w:rPr>
          <w:rFonts w:asciiTheme="majorHAnsi" w:hAnsiTheme="majorHAnsi" w:cstheme="majorHAnsi"/>
          <w:color w:val="221F1F"/>
        </w:rPr>
        <w:t>in</w:t>
      </w:r>
      <w:r w:rsidRPr="00BB024E">
        <w:rPr>
          <w:rFonts w:asciiTheme="majorHAnsi" w:hAnsiTheme="majorHAnsi" w:cstheme="majorHAnsi"/>
          <w:color w:val="221F1F"/>
        </w:rPr>
        <w:t xml:space="preserve"> </w:t>
      </w:r>
      <w:r w:rsidRPr="006477F3">
        <w:rPr>
          <w:rFonts w:asciiTheme="majorHAnsi" w:hAnsiTheme="majorHAnsi" w:cstheme="majorHAnsi"/>
          <w:color w:val="221F1F"/>
        </w:rPr>
        <w:t>parola</w:t>
      </w:r>
      <w:r w:rsidRPr="00BB024E">
        <w:rPr>
          <w:rFonts w:asciiTheme="majorHAnsi" w:hAnsiTheme="majorHAnsi" w:cstheme="majorHAnsi"/>
          <w:color w:val="221F1F"/>
        </w:rPr>
        <w:t xml:space="preserve"> </w:t>
      </w:r>
      <w:r w:rsidRPr="006477F3">
        <w:rPr>
          <w:rFonts w:asciiTheme="majorHAnsi" w:hAnsiTheme="majorHAnsi" w:cstheme="majorHAnsi"/>
          <w:color w:val="221F1F"/>
        </w:rPr>
        <w:t>nell’ambito</w:t>
      </w:r>
      <w:r w:rsidRPr="00BB024E">
        <w:rPr>
          <w:rFonts w:asciiTheme="majorHAnsi" w:hAnsiTheme="majorHAnsi" w:cstheme="majorHAnsi"/>
          <w:color w:val="221F1F"/>
        </w:rPr>
        <w:t xml:space="preserve"> </w:t>
      </w:r>
      <w:r w:rsidRPr="006477F3">
        <w:rPr>
          <w:rFonts w:asciiTheme="majorHAnsi" w:hAnsiTheme="majorHAnsi" w:cstheme="majorHAnsi"/>
          <w:color w:val="221F1F"/>
        </w:rPr>
        <w:t>del</w:t>
      </w:r>
      <w:r w:rsidRPr="00BB024E">
        <w:rPr>
          <w:rFonts w:asciiTheme="majorHAnsi" w:hAnsiTheme="majorHAnsi" w:cstheme="majorHAnsi"/>
          <w:color w:val="221F1F"/>
        </w:rPr>
        <w:t xml:space="preserve"> </w:t>
      </w:r>
      <w:r w:rsidRPr="006477F3">
        <w:rPr>
          <w:rFonts w:asciiTheme="majorHAnsi" w:hAnsiTheme="majorHAnsi" w:cstheme="majorHAnsi"/>
          <w:color w:val="221F1F"/>
        </w:rPr>
        <w:t>proprio</w:t>
      </w:r>
      <w:r w:rsidRPr="00BB024E">
        <w:rPr>
          <w:rFonts w:asciiTheme="majorHAnsi" w:hAnsiTheme="majorHAnsi" w:cstheme="majorHAnsi"/>
          <w:color w:val="221F1F"/>
        </w:rPr>
        <w:t xml:space="preserve"> </w:t>
      </w:r>
      <w:r w:rsidRPr="006477F3">
        <w:rPr>
          <w:rFonts w:asciiTheme="majorHAnsi" w:hAnsiTheme="majorHAnsi" w:cstheme="majorHAnsi"/>
          <w:color w:val="221F1F"/>
        </w:rPr>
        <w:t>sito</w:t>
      </w:r>
      <w:r w:rsidRPr="00BB024E">
        <w:rPr>
          <w:rFonts w:asciiTheme="majorHAnsi" w:hAnsiTheme="majorHAnsi" w:cstheme="majorHAnsi"/>
          <w:color w:val="221F1F"/>
        </w:rPr>
        <w:t xml:space="preserve"> </w:t>
      </w:r>
      <w:r w:rsidRPr="006477F3">
        <w:rPr>
          <w:rFonts w:asciiTheme="majorHAnsi" w:hAnsiTheme="majorHAnsi" w:cstheme="majorHAnsi"/>
          <w:color w:val="221F1F"/>
        </w:rPr>
        <w:t>istituzionale</w:t>
      </w:r>
      <w:r w:rsidRPr="00BB024E">
        <w:rPr>
          <w:rFonts w:asciiTheme="majorHAnsi" w:hAnsiTheme="majorHAnsi" w:cstheme="majorHAnsi"/>
          <w:color w:val="221F1F"/>
        </w:rPr>
        <w:t xml:space="preserve"> </w:t>
      </w:r>
      <w:r w:rsidRPr="006477F3">
        <w:rPr>
          <w:rFonts w:asciiTheme="majorHAnsi" w:hAnsiTheme="majorHAnsi" w:cstheme="majorHAnsi"/>
          <w:color w:val="221F1F"/>
        </w:rPr>
        <w:t>sezione</w:t>
      </w:r>
      <w:r w:rsidRPr="00BB024E">
        <w:rPr>
          <w:rFonts w:asciiTheme="majorHAnsi" w:hAnsiTheme="majorHAnsi" w:cstheme="majorHAnsi"/>
          <w:color w:val="221F1F"/>
        </w:rPr>
        <w:t xml:space="preserve"> </w:t>
      </w:r>
      <w:r w:rsidR="000C52A6">
        <w:rPr>
          <w:rFonts w:asciiTheme="majorHAnsi" w:hAnsiTheme="majorHAnsi" w:cstheme="majorHAnsi"/>
          <w:color w:val="221F1F"/>
        </w:rPr>
        <w:t>Società</w:t>
      </w:r>
      <w:r w:rsidRPr="00BB024E">
        <w:rPr>
          <w:rFonts w:asciiTheme="majorHAnsi" w:hAnsiTheme="majorHAnsi" w:cstheme="majorHAnsi"/>
          <w:color w:val="221F1F"/>
        </w:rPr>
        <w:t xml:space="preserve"> </w:t>
      </w:r>
      <w:r w:rsidRPr="006477F3">
        <w:rPr>
          <w:rFonts w:asciiTheme="majorHAnsi" w:hAnsiTheme="majorHAnsi" w:cstheme="majorHAnsi"/>
          <w:color w:val="221F1F"/>
        </w:rPr>
        <w:t>Trasparente sottosezione Bandi di gara</w:t>
      </w:r>
      <w:r w:rsidRPr="00BB024E">
        <w:rPr>
          <w:rFonts w:asciiTheme="majorHAnsi" w:hAnsiTheme="majorHAnsi" w:cstheme="majorHAnsi"/>
          <w:color w:val="221F1F"/>
        </w:rPr>
        <w:t>.</w:t>
      </w:r>
    </w:p>
    <w:p w14:paraId="26D11393" w14:textId="07C1AB4E" w:rsidR="00613EA3" w:rsidRPr="006477F3" w:rsidRDefault="00613EA3" w:rsidP="00DB09C5">
      <w:pPr>
        <w:pStyle w:val="Nessunaspaziatura"/>
        <w:spacing w:line="276" w:lineRule="auto"/>
        <w:rPr>
          <w:rFonts w:asciiTheme="majorHAnsi" w:eastAsia="Times New Roman" w:hAnsiTheme="majorHAnsi" w:cstheme="majorHAnsi"/>
          <w:lang w:eastAsia="zh-CN"/>
        </w:rPr>
      </w:pPr>
    </w:p>
    <w:p w14:paraId="5EEA92F8" w14:textId="77777777" w:rsidR="00007D50" w:rsidRPr="006477F3" w:rsidRDefault="00007D50" w:rsidP="00007D50">
      <w:pPr>
        <w:pStyle w:val="Corpotesto"/>
        <w:spacing w:before="77"/>
        <w:ind w:left="0"/>
        <w:rPr>
          <w:rFonts w:asciiTheme="majorHAnsi" w:hAnsiTheme="majorHAnsi" w:cstheme="majorHAnsi"/>
        </w:rPr>
      </w:pPr>
      <w:r w:rsidRPr="006477F3">
        <w:rPr>
          <w:rFonts w:asciiTheme="majorHAnsi" w:hAnsiTheme="majorHAnsi" w:cstheme="majorHAnsi"/>
          <w:color w:val="221F1F"/>
        </w:rPr>
        <w:t>La</w:t>
      </w:r>
      <w:r w:rsidRPr="006477F3">
        <w:rPr>
          <w:rFonts w:asciiTheme="majorHAnsi" w:hAnsiTheme="majorHAnsi" w:cstheme="majorHAnsi"/>
          <w:color w:val="221F1F"/>
          <w:spacing w:val="-14"/>
        </w:rPr>
        <w:t xml:space="preserve"> </w:t>
      </w:r>
      <w:r w:rsidRPr="006477F3">
        <w:rPr>
          <w:rFonts w:asciiTheme="majorHAnsi" w:hAnsiTheme="majorHAnsi" w:cstheme="majorHAnsi"/>
          <w:color w:val="221F1F"/>
        </w:rPr>
        <w:t>stazione</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appaltante</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si</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riserva</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agire</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in</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tal</w:t>
      </w:r>
      <w:r w:rsidRPr="006477F3">
        <w:rPr>
          <w:rFonts w:asciiTheme="majorHAnsi" w:hAnsiTheme="majorHAnsi" w:cstheme="majorHAnsi"/>
          <w:color w:val="221F1F"/>
          <w:spacing w:val="-14"/>
        </w:rPr>
        <w:t xml:space="preserve"> </w:t>
      </w:r>
      <w:r w:rsidRPr="006477F3">
        <w:rPr>
          <w:rFonts w:asciiTheme="majorHAnsi" w:hAnsiTheme="majorHAnsi" w:cstheme="majorHAnsi"/>
          <w:color w:val="221F1F"/>
        </w:rPr>
        <w:t>modo</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anche</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quando,</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esclusa</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la</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negligenza</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dell’operatore economico, non sia possibile accertare la causa del mancato funzionamento o del malfunzionamento. La</w:t>
      </w:r>
      <w:r w:rsidRPr="006477F3">
        <w:rPr>
          <w:rFonts w:asciiTheme="majorHAnsi" w:hAnsiTheme="majorHAnsi" w:cstheme="majorHAnsi"/>
          <w:color w:val="221F1F"/>
          <w:spacing w:val="-10"/>
        </w:rPr>
        <w:t xml:space="preserve"> </w:t>
      </w:r>
      <w:r w:rsidRPr="006477F3">
        <w:rPr>
          <w:rFonts w:asciiTheme="majorHAnsi" w:hAnsiTheme="majorHAnsi" w:cstheme="majorHAnsi"/>
          <w:color w:val="221F1F"/>
        </w:rPr>
        <w:t>Piattaforma</w:t>
      </w:r>
      <w:r w:rsidRPr="006477F3">
        <w:rPr>
          <w:rFonts w:asciiTheme="majorHAnsi" w:hAnsiTheme="majorHAnsi" w:cstheme="majorHAnsi"/>
          <w:color w:val="221F1F"/>
          <w:spacing w:val="-10"/>
        </w:rPr>
        <w:t xml:space="preserve"> </w:t>
      </w:r>
      <w:r w:rsidRPr="006477F3">
        <w:rPr>
          <w:rFonts w:asciiTheme="majorHAnsi" w:hAnsiTheme="majorHAnsi" w:cstheme="majorHAnsi"/>
          <w:color w:val="221F1F"/>
        </w:rPr>
        <w:t>garantisce</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l’integrità</w:t>
      </w:r>
      <w:r w:rsidRPr="006477F3">
        <w:rPr>
          <w:rFonts w:asciiTheme="majorHAnsi" w:hAnsiTheme="majorHAnsi" w:cstheme="majorHAnsi"/>
          <w:color w:val="221F1F"/>
          <w:spacing w:val="-10"/>
        </w:rPr>
        <w:t xml:space="preserve"> </w:t>
      </w:r>
      <w:r w:rsidRPr="006477F3">
        <w:rPr>
          <w:rFonts w:asciiTheme="majorHAnsi" w:hAnsiTheme="majorHAnsi" w:cstheme="majorHAnsi"/>
          <w:color w:val="221F1F"/>
        </w:rPr>
        <w:t>dei</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dati,</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la</w:t>
      </w:r>
      <w:r w:rsidRPr="006477F3">
        <w:rPr>
          <w:rFonts w:asciiTheme="majorHAnsi" w:hAnsiTheme="majorHAnsi" w:cstheme="majorHAnsi"/>
          <w:color w:val="221F1F"/>
          <w:spacing w:val="-10"/>
        </w:rPr>
        <w:t xml:space="preserve"> </w:t>
      </w:r>
      <w:r w:rsidRPr="006477F3">
        <w:rPr>
          <w:rFonts w:asciiTheme="majorHAnsi" w:hAnsiTheme="majorHAnsi" w:cstheme="majorHAnsi"/>
          <w:color w:val="221F1F"/>
        </w:rPr>
        <w:t>riservatezza</w:t>
      </w:r>
      <w:r w:rsidRPr="006477F3">
        <w:rPr>
          <w:rFonts w:asciiTheme="majorHAnsi" w:hAnsiTheme="majorHAnsi" w:cstheme="majorHAnsi"/>
          <w:color w:val="221F1F"/>
          <w:spacing w:val="-10"/>
        </w:rPr>
        <w:t xml:space="preserve"> </w:t>
      </w:r>
      <w:r w:rsidRPr="006477F3">
        <w:rPr>
          <w:rFonts w:asciiTheme="majorHAnsi" w:hAnsiTheme="majorHAnsi" w:cstheme="majorHAnsi"/>
          <w:color w:val="221F1F"/>
        </w:rPr>
        <w:t>delle</w:t>
      </w:r>
      <w:r w:rsidRPr="006477F3">
        <w:rPr>
          <w:rFonts w:asciiTheme="majorHAnsi" w:hAnsiTheme="majorHAnsi" w:cstheme="majorHAnsi"/>
          <w:color w:val="221F1F"/>
          <w:spacing w:val="-10"/>
        </w:rPr>
        <w:t xml:space="preserve"> </w:t>
      </w:r>
      <w:r w:rsidRPr="006477F3">
        <w:rPr>
          <w:rFonts w:asciiTheme="majorHAnsi" w:hAnsiTheme="majorHAnsi" w:cstheme="majorHAnsi"/>
          <w:color w:val="221F1F"/>
        </w:rPr>
        <w:t>proposte.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La</w:t>
      </w:r>
      <w:r w:rsidRPr="006477F3">
        <w:rPr>
          <w:rFonts w:asciiTheme="majorHAnsi" w:hAnsiTheme="majorHAnsi" w:cstheme="majorHAnsi"/>
          <w:color w:val="221F1F"/>
          <w:spacing w:val="-10"/>
        </w:rPr>
        <w:t xml:space="preserve"> </w:t>
      </w:r>
      <w:r w:rsidRPr="006477F3">
        <w:rPr>
          <w:rFonts w:asciiTheme="majorHAnsi" w:hAnsiTheme="majorHAnsi" w:cstheme="majorHAnsi"/>
          <w:color w:val="221F1F"/>
        </w:rPr>
        <w:t>Piattaforma</w:t>
      </w:r>
      <w:r w:rsidRPr="006477F3">
        <w:rPr>
          <w:rFonts w:asciiTheme="majorHAnsi" w:hAnsiTheme="majorHAnsi" w:cstheme="majorHAnsi"/>
          <w:color w:val="221F1F"/>
          <w:spacing w:val="-10"/>
        </w:rPr>
        <w:t xml:space="preserve"> </w:t>
      </w:r>
      <w:r w:rsidRPr="006477F3">
        <w:rPr>
          <w:rFonts w:asciiTheme="majorHAnsi" w:hAnsiTheme="majorHAnsi" w:cstheme="majorHAnsi"/>
          <w:color w:val="221F1F"/>
        </w:rPr>
        <w:t>è</w:t>
      </w:r>
      <w:r w:rsidRPr="006477F3">
        <w:rPr>
          <w:rFonts w:asciiTheme="majorHAnsi" w:hAnsiTheme="majorHAnsi" w:cstheme="majorHAnsi"/>
          <w:color w:val="221F1F"/>
          <w:spacing w:val="-10"/>
        </w:rPr>
        <w:t xml:space="preserve"> </w:t>
      </w:r>
      <w:r w:rsidRPr="006477F3">
        <w:rPr>
          <w:rFonts w:asciiTheme="majorHAnsi" w:hAnsiTheme="majorHAnsi" w:cstheme="majorHAnsi"/>
          <w:color w:val="221F1F"/>
        </w:rPr>
        <w:t>realizzata con</w:t>
      </w:r>
      <w:r w:rsidRPr="006477F3">
        <w:rPr>
          <w:rFonts w:asciiTheme="majorHAnsi" w:hAnsiTheme="majorHAnsi" w:cstheme="majorHAnsi"/>
          <w:color w:val="221F1F"/>
          <w:spacing w:val="-11"/>
        </w:rPr>
        <w:t xml:space="preserve"> </w:t>
      </w:r>
      <w:r w:rsidRPr="006477F3">
        <w:rPr>
          <w:rFonts w:asciiTheme="majorHAnsi" w:hAnsiTheme="majorHAnsi" w:cstheme="majorHAnsi"/>
          <w:color w:val="221F1F"/>
        </w:rPr>
        <w:t>modalità</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soluzioni</w:t>
      </w:r>
      <w:r w:rsidRPr="006477F3">
        <w:rPr>
          <w:rFonts w:asciiTheme="majorHAnsi" w:hAnsiTheme="majorHAnsi" w:cstheme="majorHAnsi"/>
          <w:color w:val="221F1F"/>
          <w:spacing w:val="-10"/>
        </w:rPr>
        <w:t xml:space="preserve"> </w:t>
      </w:r>
      <w:r w:rsidRPr="006477F3">
        <w:rPr>
          <w:rFonts w:asciiTheme="majorHAnsi" w:hAnsiTheme="majorHAnsi" w:cstheme="majorHAnsi"/>
          <w:color w:val="221F1F"/>
        </w:rPr>
        <w:t>tecniche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che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impediscono</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10"/>
        </w:rPr>
        <w:t xml:space="preserve"> </w:t>
      </w:r>
      <w:r w:rsidRPr="006477F3">
        <w:rPr>
          <w:rFonts w:asciiTheme="majorHAnsi" w:hAnsiTheme="majorHAnsi" w:cstheme="majorHAnsi"/>
          <w:color w:val="221F1F"/>
        </w:rPr>
        <w:t>operare</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variazioni</w:t>
      </w:r>
      <w:r w:rsidRPr="006477F3">
        <w:rPr>
          <w:rFonts w:asciiTheme="majorHAnsi" w:hAnsiTheme="majorHAnsi" w:cstheme="majorHAnsi"/>
          <w:color w:val="221F1F"/>
          <w:spacing w:val="-10"/>
        </w:rPr>
        <w:t xml:space="preserve"> </w:t>
      </w:r>
      <w:r w:rsidRPr="006477F3">
        <w:rPr>
          <w:rFonts w:asciiTheme="majorHAnsi" w:hAnsiTheme="majorHAnsi" w:cstheme="majorHAnsi"/>
          <w:color w:val="221F1F"/>
        </w:rPr>
        <w:t>sui</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documenti</w:t>
      </w:r>
      <w:r w:rsidRPr="006477F3">
        <w:rPr>
          <w:rFonts w:asciiTheme="majorHAnsi" w:hAnsiTheme="majorHAnsi" w:cstheme="majorHAnsi"/>
          <w:color w:val="221F1F"/>
          <w:spacing w:val="-10"/>
        </w:rPr>
        <w:t xml:space="preserve"> </w:t>
      </w:r>
      <w:r w:rsidRPr="006477F3">
        <w:rPr>
          <w:rFonts w:asciiTheme="majorHAnsi" w:hAnsiTheme="majorHAnsi" w:cstheme="majorHAnsi"/>
          <w:color w:val="221F1F"/>
        </w:rPr>
        <w:t>definitivi,</w:t>
      </w:r>
      <w:r w:rsidRPr="006477F3">
        <w:rPr>
          <w:rFonts w:asciiTheme="majorHAnsi" w:hAnsiTheme="majorHAnsi" w:cstheme="majorHAnsi"/>
          <w:color w:val="221F1F"/>
          <w:spacing w:val="-11"/>
        </w:rPr>
        <w:t xml:space="preserve"> </w:t>
      </w:r>
      <w:r w:rsidRPr="006477F3">
        <w:rPr>
          <w:rFonts w:asciiTheme="majorHAnsi" w:hAnsiTheme="majorHAnsi" w:cstheme="majorHAnsi"/>
          <w:color w:val="221F1F"/>
        </w:rPr>
        <w:t>sulle registrazioni</w:t>
      </w:r>
      <w:r w:rsidRPr="006477F3">
        <w:rPr>
          <w:rFonts w:asciiTheme="majorHAnsi" w:hAnsiTheme="majorHAnsi" w:cstheme="majorHAnsi"/>
          <w:color w:val="221F1F"/>
          <w:spacing w:val="38"/>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38"/>
        </w:rPr>
        <w:t xml:space="preserve"> </w:t>
      </w:r>
      <w:r w:rsidRPr="006477F3">
        <w:rPr>
          <w:rFonts w:asciiTheme="majorHAnsi" w:hAnsiTheme="majorHAnsi" w:cstheme="majorHAnsi"/>
          <w:color w:val="221F1F"/>
        </w:rPr>
        <w:t>sistema</w:t>
      </w:r>
      <w:r w:rsidRPr="006477F3">
        <w:rPr>
          <w:rFonts w:asciiTheme="majorHAnsi" w:hAnsiTheme="majorHAnsi" w:cstheme="majorHAnsi"/>
          <w:color w:val="221F1F"/>
          <w:spacing w:val="34"/>
        </w:rPr>
        <w:t xml:space="preserve"> </w:t>
      </w:r>
      <w:r w:rsidRPr="006477F3">
        <w:rPr>
          <w:rFonts w:asciiTheme="majorHAnsi" w:hAnsiTheme="majorHAnsi" w:cstheme="majorHAnsi"/>
          <w:color w:val="221F1F"/>
        </w:rPr>
        <w:t>e</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sulle</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altre</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rappresentazioni</w:t>
      </w:r>
      <w:r w:rsidRPr="006477F3">
        <w:rPr>
          <w:rFonts w:asciiTheme="majorHAnsi" w:hAnsiTheme="majorHAnsi" w:cstheme="majorHAnsi"/>
          <w:color w:val="221F1F"/>
          <w:spacing w:val="38"/>
        </w:rPr>
        <w:t xml:space="preserve"> </w:t>
      </w:r>
      <w:r w:rsidRPr="006477F3">
        <w:rPr>
          <w:rFonts w:asciiTheme="majorHAnsi" w:hAnsiTheme="majorHAnsi" w:cstheme="majorHAnsi"/>
          <w:color w:val="221F1F"/>
        </w:rPr>
        <w:t>informatiche</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e</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telematiche</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degli</w:t>
      </w:r>
      <w:r w:rsidRPr="006477F3">
        <w:rPr>
          <w:rFonts w:asciiTheme="majorHAnsi" w:hAnsiTheme="majorHAnsi" w:cstheme="majorHAnsi"/>
          <w:color w:val="221F1F"/>
          <w:spacing w:val="38"/>
        </w:rPr>
        <w:t xml:space="preserve"> </w:t>
      </w:r>
      <w:r w:rsidRPr="006477F3">
        <w:rPr>
          <w:rFonts w:asciiTheme="majorHAnsi" w:hAnsiTheme="majorHAnsi" w:cstheme="majorHAnsi"/>
          <w:color w:val="221F1F"/>
        </w:rPr>
        <w:t>atti</w:t>
      </w:r>
      <w:r w:rsidRPr="006477F3">
        <w:rPr>
          <w:rFonts w:asciiTheme="majorHAnsi" w:hAnsiTheme="majorHAnsi" w:cstheme="majorHAnsi"/>
          <w:color w:val="221F1F"/>
          <w:spacing w:val="38"/>
        </w:rPr>
        <w:t xml:space="preserve"> </w:t>
      </w:r>
      <w:r w:rsidRPr="006477F3">
        <w:rPr>
          <w:rFonts w:asciiTheme="majorHAnsi" w:hAnsiTheme="majorHAnsi" w:cstheme="majorHAnsi"/>
          <w:color w:val="221F1F"/>
        </w:rPr>
        <w:t>e</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delle operazioni compiute nell'ambito delle procedure, sulla base della tecnologia esistente e disponibile.</w:t>
      </w:r>
    </w:p>
    <w:p w14:paraId="68151AD1" w14:textId="77777777" w:rsidR="00007D50" w:rsidRPr="006477F3" w:rsidRDefault="00007D50" w:rsidP="00007D50">
      <w:pPr>
        <w:pStyle w:val="Corpotesto"/>
        <w:ind w:left="0"/>
        <w:rPr>
          <w:rFonts w:asciiTheme="majorHAnsi" w:hAnsiTheme="majorHAnsi" w:cstheme="majorHAnsi"/>
        </w:rPr>
      </w:pPr>
      <w:r w:rsidRPr="006477F3">
        <w:rPr>
          <w:rFonts w:asciiTheme="majorHAnsi" w:hAnsiTheme="majorHAnsi" w:cstheme="majorHAnsi"/>
          <w:color w:val="221F1F"/>
        </w:rPr>
        <w:t xml:space="preserve">Le attività e le operazioni effettuate nell'ambito della Piattaforma sono registrate e attribuite all’operatore economico e si intendono compiute nell’ora e nel giorno risultanti dalle registrazioni di </w:t>
      </w:r>
      <w:r w:rsidRPr="006477F3">
        <w:rPr>
          <w:rFonts w:asciiTheme="majorHAnsi" w:hAnsiTheme="majorHAnsi" w:cstheme="majorHAnsi"/>
          <w:color w:val="221F1F"/>
          <w:spacing w:val="-2"/>
        </w:rPr>
        <w:t>sistema.</w:t>
      </w:r>
    </w:p>
    <w:p w14:paraId="0CB2C541" w14:textId="77777777" w:rsidR="00007D50" w:rsidRPr="006477F3" w:rsidRDefault="00007D50" w:rsidP="00007D50">
      <w:pPr>
        <w:pStyle w:val="Corpotesto"/>
        <w:ind w:left="0"/>
        <w:rPr>
          <w:rFonts w:asciiTheme="majorHAnsi" w:hAnsiTheme="majorHAnsi" w:cstheme="majorHAnsi"/>
        </w:rPr>
      </w:pPr>
      <w:r w:rsidRPr="006477F3">
        <w:rPr>
          <w:rFonts w:asciiTheme="majorHAnsi" w:hAnsiTheme="majorHAnsi" w:cstheme="majorHAnsi"/>
          <w:color w:val="221F1F"/>
        </w:rPr>
        <w:t>Il sistema operativo della Piattaforma è sincronizzato sulla scala di tempo nazionale di cui al decreto del Ministro dell'industria, del commercio e dell'artigianato 30 novembre 1993, n. 591, tramite protocollo NTP o standard superiore.</w:t>
      </w:r>
    </w:p>
    <w:p w14:paraId="414615B8" w14:textId="77777777" w:rsidR="00007D50" w:rsidRPr="006477F3" w:rsidRDefault="00007D50" w:rsidP="00007D50">
      <w:pPr>
        <w:spacing w:before="217"/>
        <w:jc w:val="both"/>
        <w:rPr>
          <w:rFonts w:asciiTheme="majorHAnsi" w:hAnsiTheme="majorHAnsi" w:cstheme="majorHAnsi"/>
        </w:rPr>
      </w:pPr>
      <w:r w:rsidRPr="006477F3">
        <w:rPr>
          <w:rFonts w:asciiTheme="majorHAnsi" w:hAnsiTheme="majorHAnsi" w:cstheme="majorHAnsi"/>
          <w:color w:val="221F1F"/>
        </w:rPr>
        <w:t xml:space="preserve">L’utilizzo e il funzionamento della Piattaforma avvengono in conformità a quanto riportato nel documento </w:t>
      </w:r>
      <w:r w:rsidRPr="006477F3">
        <w:rPr>
          <w:rFonts w:asciiTheme="majorHAnsi" w:hAnsiTheme="majorHAnsi" w:cstheme="majorHAnsi"/>
          <w:i/>
          <w:color w:val="221F1F"/>
        </w:rPr>
        <w:t>Modalità</w:t>
      </w:r>
      <w:r w:rsidRPr="006477F3">
        <w:rPr>
          <w:rFonts w:asciiTheme="majorHAnsi" w:hAnsiTheme="majorHAnsi" w:cstheme="majorHAnsi"/>
          <w:color w:val="221F1F"/>
          <w:spacing w:val="-1"/>
        </w:rPr>
        <w:t xml:space="preserve"> </w:t>
      </w:r>
      <w:r w:rsidRPr="006477F3">
        <w:rPr>
          <w:rFonts w:asciiTheme="majorHAnsi" w:hAnsiTheme="majorHAnsi" w:cstheme="majorHAnsi"/>
          <w:i/>
          <w:color w:val="221F1F"/>
        </w:rPr>
        <w:t>tecniche</w:t>
      </w:r>
      <w:r w:rsidRPr="006477F3">
        <w:rPr>
          <w:rFonts w:asciiTheme="majorHAnsi" w:hAnsiTheme="majorHAnsi" w:cstheme="majorHAnsi"/>
          <w:color w:val="221F1F"/>
        </w:rPr>
        <w:t xml:space="preserve"> </w:t>
      </w:r>
      <w:r w:rsidRPr="006477F3">
        <w:rPr>
          <w:rFonts w:asciiTheme="majorHAnsi" w:hAnsiTheme="majorHAnsi" w:cstheme="majorHAnsi"/>
          <w:i/>
          <w:color w:val="221F1F"/>
        </w:rPr>
        <w:t>per</w:t>
      </w:r>
      <w:r w:rsidRPr="006477F3">
        <w:rPr>
          <w:rFonts w:asciiTheme="majorHAnsi" w:hAnsiTheme="majorHAnsi" w:cstheme="majorHAnsi"/>
          <w:color w:val="221F1F"/>
          <w:spacing w:val="-2"/>
        </w:rPr>
        <w:t xml:space="preserve"> </w:t>
      </w:r>
      <w:r w:rsidRPr="006477F3">
        <w:rPr>
          <w:rFonts w:asciiTheme="majorHAnsi" w:hAnsiTheme="majorHAnsi" w:cstheme="majorHAnsi"/>
          <w:i/>
          <w:color w:val="221F1F"/>
        </w:rPr>
        <w:t>l’utilizzo</w:t>
      </w:r>
      <w:r w:rsidRPr="006477F3">
        <w:rPr>
          <w:rFonts w:asciiTheme="majorHAnsi" w:hAnsiTheme="majorHAnsi" w:cstheme="majorHAnsi"/>
          <w:color w:val="221F1F"/>
        </w:rPr>
        <w:t xml:space="preserve"> </w:t>
      </w:r>
      <w:r w:rsidRPr="006477F3">
        <w:rPr>
          <w:rFonts w:asciiTheme="majorHAnsi" w:hAnsiTheme="majorHAnsi" w:cstheme="majorHAnsi"/>
          <w:i/>
          <w:color w:val="221F1F"/>
        </w:rPr>
        <w:t>della</w:t>
      </w:r>
      <w:r w:rsidRPr="006477F3">
        <w:rPr>
          <w:rFonts w:asciiTheme="majorHAnsi" w:hAnsiTheme="majorHAnsi" w:cstheme="majorHAnsi"/>
          <w:color w:val="221F1F"/>
          <w:spacing w:val="-1"/>
        </w:rPr>
        <w:t xml:space="preserve"> </w:t>
      </w:r>
      <w:r w:rsidRPr="006477F3">
        <w:rPr>
          <w:rFonts w:asciiTheme="majorHAnsi" w:hAnsiTheme="majorHAnsi" w:cstheme="majorHAnsi"/>
          <w:i/>
          <w:color w:val="221F1F"/>
        </w:rPr>
        <w:t>piattaforma</w:t>
      </w:r>
      <w:r w:rsidRPr="006477F3">
        <w:rPr>
          <w:rFonts w:asciiTheme="majorHAnsi" w:hAnsiTheme="majorHAnsi" w:cstheme="majorHAnsi"/>
          <w:color w:val="221F1F"/>
        </w:rPr>
        <w:t xml:space="preserve"> </w:t>
      </w:r>
      <w:r w:rsidRPr="006477F3">
        <w:rPr>
          <w:rFonts w:asciiTheme="majorHAnsi" w:hAnsiTheme="majorHAnsi" w:cstheme="majorHAnsi"/>
          <w:i/>
          <w:color w:val="221F1F"/>
        </w:rPr>
        <w:t>Sintel</w:t>
      </w:r>
      <w:r w:rsidRPr="006477F3">
        <w:rPr>
          <w:rFonts w:asciiTheme="majorHAnsi" w:hAnsiTheme="majorHAnsi" w:cstheme="majorHAnsi"/>
          <w:color w:val="221F1F"/>
        </w:rPr>
        <w:t xml:space="preserve"> </w:t>
      </w:r>
      <w:r w:rsidRPr="006477F3">
        <w:rPr>
          <w:rFonts w:asciiTheme="majorHAnsi" w:hAnsiTheme="majorHAnsi" w:cstheme="majorHAnsi"/>
          <w:i/>
          <w:color w:val="221F1F"/>
        </w:rPr>
        <w:t>e</w:t>
      </w:r>
      <w:r w:rsidRPr="006477F3">
        <w:rPr>
          <w:rFonts w:asciiTheme="majorHAnsi" w:hAnsiTheme="majorHAnsi" w:cstheme="majorHAnsi"/>
          <w:color w:val="221F1F"/>
        </w:rPr>
        <w:t xml:space="preserve"> </w:t>
      </w:r>
      <w:r w:rsidRPr="006477F3">
        <w:rPr>
          <w:rFonts w:asciiTheme="majorHAnsi" w:hAnsiTheme="majorHAnsi" w:cstheme="majorHAnsi"/>
          <w:i/>
          <w:color w:val="221F1F"/>
        </w:rPr>
        <w:t>nelle</w:t>
      </w:r>
      <w:r w:rsidRPr="006477F3">
        <w:rPr>
          <w:rFonts w:asciiTheme="majorHAnsi" w:hAnsiTheme="majorHAnsi" w:cstheme="majorHAnsi"/>
          <w:color w:val="221F1F"/>
        </w:rPr>
        <w:t xml:space="preserve"> </w:t>
      </w:r>
      <w:r w:rsidRPr="006477F3">
        <w:rPr>
          <w:rFonts w:asciiTheme="majorHAnsi" w:hAnsiTheme="majorHAnsi" w:cstheme="majorHAnsi"/>
          <w:i/>
          <w:color w:val="221F1F"/>
        </w:rPr>
        <w:t>guide</w:t>
      </w:r>
      <w:r w:rsidRPr="006477F3">
        <w:rPr>
          <w:rFonts w:asciiTheme="majorHAnsi" w:hAnsiTheme="majorHAnsi" w:cstheme="majorHAnsi"/>
          <w:color w:val="221F1F"/>
        </w:rPr>
        <w:t xml:space="preserve"> </w:t>
      </w:r>
      <w:r w:rsidRPr="006477F3">
        <w:rPr>
          <w:rFonts w:asciiTheme="majorHAnsi" w:hAnsiTheme="majorHAnsi" w:cstheme="majorHAnsi"/>
          <w:i/>
          <w:color w:val="221F1F"/>
        </w:rPr>
        <w:t>ivi</w:t>
      </w:r>
      <w:r w:rsidRPr="006477F3">
        <w:rPr>
          <w:rFonts w:asciiTheme="majorHAnsi" w:hAnsiTheme="majorHAnsi" w:cstheme="majorHAnsi"/>
          <w:color w:val="221F1F"/>
        </w:rPr>
        <w:t xml:space="preserve"> </w:t>
      </w:r>
      <w:r w:rsidRPr="006477F3">
        <w:rPr>
          <w:rFonts w:asciiTheme="majorHAnsi" w:hAnsiTheme="majorHAnsi" w:cstheme="majorHAnsi"/>
          <w:i/>
          <w:color w:val="221F1F"/>
        </w:rPr>
        <w:t>richiamate</w:t>
      </w:r>
      <w:r w:rsidRPr="006477F3">
        <w:rPr>
          <w:rFonts w:asciiTheme="majorHAnsi" w:hAnsiTheme="majorHAnsi" w:cstheme="majorHAnsi"/>
          <w:color w:val="221F1F"/>
        </w:rPr>
        <w:t xml:space="preserve">, </w:t>
      </w:r>
      <w:r w:rsidRPr="006477F3">
        <w:rPr>
          <w:rFonts w:asciiTheme="majorHAnsi" w:hAnsiTheme="majorHAnsi" w:cstheme="majorHAnsi"/>
          <w:color w:val="221F1F"/>
        </w:rPr>
        <w:lastRenderedPageBreak/>
        <w:t>messo a disposizione sul portale di Aria s.p.a. che costituisce parte integrante del presente documento.</w:t>
      </w:r>
    </w:p>
    <w:p w14:paraId="38BC1C25" w14:textId="77777777" w:rsidR="00007D50" w:rsidRPr="006477F3" w:rsidRDefault="00007D50" w:rsidP="00007D50">
      <w:pPr>
        <w:pStyle w:val="Corpotesto"/>
        <w:ind w:left="0"/>
        <w:rPr>
          <w:rFonts w:asciiTheme="majorHAnsi" w:hAnsiTheme="majorHAnsi" w:cstheme="majorHAnsi"/>
        </w:rPr>
      </w:pPr>
      <w:r w:rsidRPr="006477F3">
        <w:rPr>
          <w:rFonts w:asciiTheme="majorHAnsi" w:hAnsiTheme="majorHAnsi" w:cstheme="majorHAnsi"/>
          <w:color w:val="221F1F"/>
        </w:rPr>
        <w:t>L’acquisto, l’installazione e la configurazione dell’hardware, del software, dei certificati digitali di firma, della casella di PEC o comunque di un indirizzo di servizio elettronico di recapito certificato qualificato, nonché dei collegamenti per l’accesso alla rete Internet, restano a esclusivo carico dell’operatore economico.</w:t>
      </w:r>
    </w:p>
    <w:p w14:paraId="23908B4A" w14:textId="77777777" w:rsidR="00007D50" w:rsidRPr="006477F3" w:rsidRDefault="00007D50" w:rsidP="00007D50">
      <w:pPr>
        <w:pStyle w:val="Corpotesto"/>
        <w:ind w:left="0"/>
        <w:rPr>
          <w:rFonts w:asciiTheme="majorHAnsi" w:hAnsiTheme="majorHAnsi" w:cstheme="majorHAnsi"/>
        </w:rPr>
      </w:pPr>
      <w:r w:rsidRPr="006477F3">
        <w:rPr>
          <w:rFonts w:asciiTheme="majorHAnsi" w:hAnsiTheme="majorHAnsi" w:cstheme="majorHAnsi"/>
          <w:color w:val="221F1F"/>
        </w:rPr>
        <w:t>La</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Piattaforma</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è</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accessibile</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in</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qualsiasi</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orario</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dalla</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data</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lancio</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della</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procedura</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alla</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data</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12"/>
        </w:rPr>
        <w:t xml:space="preserve"> </w:t>
      </w:r>
      <w:r w:rsidRPr="006477F3">
        <w:rPr>
          <w:rFonts w:asciiTheme="majorHAnsi" w:hAnsiTheme="majorHAnsi" w:cstheme="majorHAnsi"/>
          <w:color w:val="221F1F"/>
        </w:rPr>
        <w:t>scadenza del termine di presentazione delle offerte, fermo restando le ipotesi di interventi di manutenzione programmata e non.</w:t>
      </w:r>
    </w:p>
    <w:p w14:paraId="4E8E74D4" w14:textId="026A7D7A" w:rsidR="00007D50" w:rsidRPr="006477F3" w:rsidRDefault="00007D50" w:rsidP="00DB09C5">
      <w:pPr>
        <w:pStyle w:val="Nessunaspaziatura"/>
        <w:spacing w:line="276" w:lineRule="auto"/>
        <w:rPr>
          <w:rFonts w:asciiTheme="majorHAnsi" w:eastAsia="Times New Roman" w:hAnsiTheme="majorHAnsi" w:cstheme="majorHAnsi"/>
          <w:lang w:eastAsia="zh-CN"/>
        </w:rPr>
      </w:pPr>
      <w:r w:rsidRPr="006477F3">
        <w:rPr>
          <w:rFonts w:asciiTheme="majorHAnsi" w:hAnsiTheme="majorHAnsi" w:cstheme="majorHAnsi"/>
          <w:noProof/>
        </w:rPr>
        <mc:AlternateContent>
          <mc:Choice Requires="wps">
            <w:drawing>
              <wp:anchor distT="0" distB="0" distL="0" distR="0" simplePos="0" relativeHeight="251661312" behindDoc="1" locked="0" layoutInCell="1" allowOverlap="1" wp14:anchorId="4A5C6937" wp14:editId="08987411">
                <wp:simplePos x="0" y="0"/>
                <wp:positionH relativeFrom="page">
                  <wp:posOffset>914400</wp:posOffset>
                </wp:positionH>
                <wp:positionV relativeFrom="paragraph">
                  <wp:posOffset>201295</wp:posOffset>
                </wp:positionV>
                <wp:extent cx="5733415" cy="908050"/>
                <wp:effectExtent l="0" t="0" r="6985" b="1905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3415" cy="908050"/>
                        </a:xfrm>
                        <a:prstGeom prst="rect">
                          <a:avLst/>
                        </a:prstGeom>
                        <a:ln w="6095">
                          <a:solidFill>
                            <a:srgbClr val="221F1F"/>
                          </a:solidFill>
                          <a:prstDash val="solid"/>
                        </a:ln>
                      </wps:spPr>
                      <wps:txbx>
                        <w:txbxContent>
                          <w:p w14:paraId="6B441438" w14:textId="77777777" w:rsidR="00007D50" w:rsidRPr="00BB024E" w:rsidRDefault="00007D50" w:rsidP="00007D50">
                            <w:pPr>
                              <w:pStyle w:val="Corpotesto"/>
                              <w:spacing w:before="18"/>
                              <w:ind w:left="107" w:right="102"/>
                              <w:rPr>
                                <w:rFonts w:asciiTheme="majorHAnsi" w:hAnsiTheme="majorHAnsi" w:cstheme="majorHAnsi"/>
                              </w:rPr>
                            </w:pPr>
                            <w:r w:rsidRPr="00BB024E">
                              <w:rPr>
                                <w:rFonts w:asciiTheme="majorHAnsi" w:hAnsiTheme="majorHAnsi" w:cstheme="majorHAnsi"/>
                                <w:color w:val="221F1F"/>
                              </w:rPr>
                              <w:t>Specifiche e dettagliate indicazioni sono inoltre contenute nelle Guide e Manuali d’uso per gli Operatori Economici cui si fa espresso rimando, messi a disposizione sul portale dell’Azienda Regionale per l’Innovazione e gli</w:t>
                            </w:r>
                            <w:r w:rsidRPr="00BB024E">
                              <w:rPr>
                                <w:rFonts w:asciiTheme="majorHAnsi" w:hAnsiTheme="majorHAnsi" w:cstheme="majorHAnsi"/>
                                <w:color w:val="221F1F"/>
                                <w:spacing w:val="40"/>
                              </w:rPr>
                              <w:t xml:space="preserve"> </w:t>
                            </w:r>
                            <w:r w:rsidRPr="00BB024E">
                              <w:rPr>
                                <w:rFonts w:asciiTheme="majorHAnsi" w:hAnsiTheme="majorHAnsi" w:cstheme="majorHAnsi"/>
                                <w:color w:val="221F1F"/>
                              </w:rPr>
                              <w:t xml:space="preserve">Acquisti </w:t>
                            </w:r>
                            <w:hyperlink r:id="rId14">
                              <w:r w:rsidRPr="00BB024E">
                                <w:rPr>
                                  <w:rFonts w:asciiTheme="majorHAnsi" w:hAnsiTheme="majorHAnsi" w:cstheme="majorHAnsi"/>
                                  <w:color w:val="2050A2"/>
                                  <w:u w:val="single" w:color="2050A2"/>
                                </w:rPr>
                                <w:t>www.ariaspa.it</w:t>
                              </w:r>
                            </w:hyperlink>
                            <w:r w:rsidRPr="00BB024E">
                              <w:rPr>
                                <w:rFonts w:asciiTheme="majorHAnsi" w:hAnsiTheme="majorHAnsi" w:cstheme="majorHAnsi"/>
                                <w:color w:val="2050A2"/>
                              </w:rPr>
                              <w:t xml:space="preserve"> </w:t>
                            </w:r>
                            <w:r w:rsidRPr="00BB024E">
                              <w:rPr>
                                <w:rFonts w:asciiTheme="majorHAnsi" w:hAnsiTheme="majorHAnsi" w:cstheme="majorHAnsi"/>
                                <w:color w:val="221F1F"/>
                              </w:rPr>
                              <w:t xml:space="preserve">. Per richieste di supporto tecnico e/ informativo sull’utilizzo di Sintel si può di contattare il Contact Center di ARIA n. 800.116.738 o utilizzare la mail: </w:t>
                            </w:r>
                            <w:hyperlink r:id="rId15">
                              <w:r w:rsidRPr="00BB024E">
                                <w:rPr>
                                  <w:rFonts w:asciiTheme="majorHAnsi" w:hAnsiTheme="majorHAnsi" w:cstheme="majorHAnsi"/>
                                  <w:color w:val="2050A2"/>
                                  <w:u w:val="single" w:color="2050A2"/>
                                </w:rPr>
                                <w:t>supportoacquistipa@ariaspa.it</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4A5C6937" id="_x0000_t202" coordsize="21600,21600" o:spt="202" path="m,l,21600r21600,l21600,xe">
                <v:stroke joinstyle="miter"/>
                <v:path gradientshapeok="t" o:connecttype="rect"/>
              </v:shapetype>
              <v:shape id="Textbox 23" o:spid="_x0000_s1026" type="#_x0000_t202" style="position:absolute;margin-left:1in;margin-top:15.85pt;width:451.45pt;height:71.5pt;z-index:-25165516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" filled="f" strokecolor="#221f1f" strokeweight=".16931mm">
                <v:path arrowok="t"/>
                <v:textbox inset="0,0,0,0">
                  <w:txbxContent>
                    <w:p w14:paraId="6B441438" w14:textId="77777777" w:rsidR="00007D50" w:rsidRPr="00BB024E" w:rsidRDefault="00007D50" w:rsidP="00007D50">
                      <w:pPr>
                        <w:pStyle w:val="Corpotesto"/>
                        <w:spacing w:before="18"/>
                        <w:ind w:left="107" w:right="102"/>
                        <w:rPr>
                          <w:rFonts w:asciiTheme="majorHAnsi" w:hAnsiTheme="majorHAnsi" w:cstheme="majorHAnsi"/>
                        </w:rPr>
                      </w:pPr>
                      <w:r w:rsidRPr="00BB024E">
                        <w:rPr>
                          <w:rFonts w:asciiTheme="majorHAnsi" w:hAnsiTheme="majorHAnsi" w:cstheme="majorHAnsi"/>
                          <w:color w:val="221F1F"/>
                        </w:rPr>
                        <w:t>Specifiche e dettagliate indicazioni sono inoltre contenute nelle Guide e Manuali d’uso per gli Operatori Economici cui si fa espresso rimando, messi a disposizione sul portale dell’Azienda Regionale per l’Innovazione e gli</w:t>
                      </w:r>
                      <w:r w:rsidRPr="00BB024E">
                        <w:rPr>
                          <w:rFonts w:asciiTheme="majorHAnsi" w:hAnsiTheme="majorHAnsi" w:cstheme="majorHAnsi"/>
                          <w:color w:val="221F1F"/>
                          <w:spacing w:val="40"/>
                        </w:rPr>
                        <w:t xml:space="preserve"> </w:t>
                      </w:r>
                      <w:r w:rsidRPr="00BB024E">
                        <w:rPr>
                          <w:rFonts w:asciiTheme="majorHAnsi" w:hAnsiTheme="majorHAnsi" w:cstheme="majorHAnsi"/>
                          <w:color w:val="221F1F"/>
                        </w:rPr>
                        <w:t xml:space="preserve">Acquisti </w:t>
                      </w:r>
                      <w:hyperlink r:id="rId16">
                        <w:r w:rsidRPr="00BB024E">
                          <w:rPr>
                            <w:rFonts w:asciiTheme="majorHAnsi" w:hAnsiTheme="majorHAnsi" w:cstheme="majorHAnsi"/>
                            <w:color w:val="2050A2"/>
                            <w:u w:val="single" w:color="2050A2"/>
                          </w:rPr>
                          <w:t>www.ariaspa.it</w:t>
                        </w:r>
                      </w:hyperlink>
                      <w:r w:rsidRPr="00BB024E">
                        <w:rPr>
                          <w:rFonts w:asciiTheme="majorHAnsi" w:hAnsiTheme="majorHAnsi" w:cstheme="majorHAnsi"/>
                          <w:color w:val="2050A2"/>
                        </w:rPr>
                        <w:t xml:space="preserve"> </w:t>
                      </w:r>
                      <w:r w:rsidRPr="00BB024E">
                        <w:rPr>
                          <w:rFonts w:asciiTheme="majorHAnsi" w:hAnsiTheme="majorHAnsi" w:cstheme="majorHAnsi"/>
                          <w:color w:val="221F1F"/>
                        </w:rPr>
                        <w:t xml:space="preserve">. Per richieste di supporto tecnico e/ informativo sull’utilizzo di Sintel si può di contattare il Contact Center di ARIA n. 800.116.738 o utilizzare la mail: </w:t>
                      </w:r>
                      <w:hyperlink r:id="rId17">
                        <w:r w:rsidRPr="00BB024E">
                          <w:rPr>
                            <w:rFonts w:asciiTheme="majorHAnsi" w:hAnsiTheme="majorHAnsi" w:cstheme="majorHAnsi"/>
                            <w:color w:val="2050A2"/>
                            <w:u w:val="single" w:color="2050A2"/>
                          </w:rPr>
                          <w:t>supportoacquistipa@ariaspa.it</w:t>
                        </w:r>
                      </w:hyperlink>
                    </w:p>
                  </w:txbxContent>
                </v:textbox>
                <w10:wrap type="topAndBottom" anchorx="page"/>
              </v:shape>
            </w:pict>
          </mc:Fallback>
        </mc:AlternateContent>
      </w:r>
    </w:p>
    <w:p w14:paraId="2196DAE7" w14:textId="60207F9F" w:rsidR="00613EA3" w:rsidRPr="006477F3" w:rsidRDefault="00613EA3" w:rsidP="00DB09C5">
      <w:pPr>
        <w:pStyle w:val="Nessunaspaziatura"/>
        <w:spacing w:line="276" w:lineRule="auto"/>
        <w:rPr>
          <w:rFonts w:asciiTheme="majorHAnsi" w:eastAsia="Times New Roman" w:hAnsiTheme="majorHAnsi" w:cstheme="majorHAnsi"/>
          <w:lang w:eastAsia="zh-CN"/>
        </w:rPr>
      </w:pPr>
    </w:p>
    <w:p w14:paraId="503B8FC2" w14:textId="77777777" w:rsidR="00E74959" w:rsidRPr="006477F3" w:rsidRDefault="00E74959" w:rsidP="0069424C">
      <w:pPr>
        <w:pStyle w:val="Titolo7"/>
        <w:numPr>
          <w:ilvl w:val="1"/>
          <w:numId w:val="5"/>
        </w:numPr>
        <w:tabs>
          <w:tab w:val="num" w:pos="426"/>
        </w:tabs>
        <w:ind w:left="426" w:hanging="426"/>
        <w:rPr>
          <w:rFonts w:cstheme="majorHAnsi"/>
          <w:i w:val="0"/>
          <w:iCs w:val="0"/>
          <w:color w:val="221F1F"/>
        </w:rPr>
      </w:pPr>
      <w:r w:rsidRPr="006477F3">
        <w:rPr>
          <w:rFonts w:cstheme="majorHAnsi"/>
          <w:i w:val="0"/>
          <w:iCs w:val="0"/>
          <w:color w:val="221F1F"/>
        </w:rPr>
        <w:t>DOTAZIONI</w:t>
      </w:r>
      <w:r w:rsidRPr="006477F3">
        <w:rPr>
          <w:rFonts w:cstheme="majorHAnsi"/>
          <w:i w:val="0"/>
          <w:iCs w:val="0"/>
          <w:color w:val="221F1F"/>
          <w:spacing w:val="-5"/>
        </w:rPr>
        <w:t xml:space="preserve"> </w:t>
      </w:r>
      <w:r w:rsidRPr="006477F3">
        <w:rPr>
          <w:rFonts w:cstheme="majorHAnsi"/>
          <w:i w:val="0"/>
          <w:iCs w:val="0"/>
          <w:color w:val="221F1F"/>
          <w:spacing w:val="-2"/>
        </w:rPr>
        <w:t>TECNICHE</w:t>
      </w:r>
    </w:p>
    <w:p w14:paraId="1806F187" w14:textId="77777777" w:rsidR="00E74959" w:rsidRPr="006477F3" w:rsidRDefault="00E74959" w:rsidP="009D7E6E">
      <w:pPr>
        <w:pStyle w:val="Corpotesto"/>
        <w:spacing w:before="120"/>
        <w:ind w:left="0"/>
        <w:rPr>
          <w:rFonts w:asciiTheme="majorHAnsi" w:hAnsiTheme="majorHAnsi" w:cstheme="majorHAnsi"/>
        </w:rPr>
      </w:pPr>
      <w:r w:rsidRPr="006477F3">
        <w:rPr>
          <w:rFonts w:asciiTheme="majorHAnsi" w:hAnsiTheme="majorHAnsi" w:cstheme="majorHAnsi"/>
          <w:color w:val="221F1F"/>
        </w:rPr>
        <w:t>Ai fini della partecipazione</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alla presente</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procedura, ogni operatore economico deve dotarsi, a</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propria cura,</w:t>
      </w:r>
      <w:r w:rsidRPr="006477F3">
        <w:rPr>
          <w:rFonts w:asciiTheme="majorHAnsi" w:hAnsiTheme="majorHAnsi" w:cstheme="majorHAnsi"/>
          <w:color w:val="221F1F"/>
          <w:spacing w:val="-6"/>
        </w:rPr>
        <w:t xml:space="preserve"> </w:t>
      </w:r>
      <w:r w:rsidRPr="006477F3">
        <w:rPr>
          <w:rFonts w:asciiTheme="majorHAnsi" w:hAnsiTheme="majorHAnsi" w:cstheme="majorHAnsi"/>
          <w:color w:val="221F1F"/>
        </w:rPr>
        <w:t>spesa</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e</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responsabilità</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della</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strumentazione</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tecnica</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ed</w:t>
      </w:r>
      <w:r w:rsidRPr="006477F3">
        <w:rPr>
          <w:rFonts w:asciiTheme="majorHAnsi" w:hAnsiTheme="majorHAnsi" w:cstheme="majorHAnsi"/>
          <w:color w:val="221F1F"/>
          <w:spacing w:val="-6"/>
        </w:rPr>
        <w:t xml:space="preserve"> </w:t>
      </w:r>
      <w:r w:rsidRPr="006477F3">
        <w:rPr>
          <w:rFonts w:asciiTheme="majorHAnsi" w:hAnsiTheme="majorHAnsi" w:cstheme="majorHAnsi"/>
          <w:color w:val="221F1F"/>
        </w:rPr>
        <w:t>informatica</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conforme</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a</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quella</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indicata</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 xml:space="preserve">nel presente documento e nel documento </w:t>
      </w:r>
      <w:r w:rsidRPr="006477F3">
        <w:rPr>
          <w:rFonts w:asciiTheme="majorHAnsi" w:hAnsiTheme="majorHAnsi" w:cstheme="majorHAnsi"/>
          <w:i/>
          <w:color w:val="221F1F"/>
        </w:rPr>
        <w:t>Modalità</w:t>
      </w:r>
      <w:r w:rsidRPr="006477F3">
        <w:rPr>
          <w:rFonts w:asciiTheme="majorHAnsi" w:hAnsiTheme="majorHAnsi" w:cstheme="majorHAnsi"/>
          <w:color w:val="221F1F"/>
        </w:rPr>
        <w:t xml:space="preserve"> </w:t>
      </w:r>
      <w:r w:rsidRPr="006477F3">
        <w:rPr>
          <w:rFonts w:asciiTheme="majorHAnsi" w:hAnsiTheme="majorHAnsi" w:cstheme="majorHAnsi"/>
          <w:i/>
          <w:color w:val="221F1F"/>
        </w:rPr>
        <w:t>tecniche</w:t>
      </w:r>
      <w:r w:rsidRPr="006477F3">
        <w:rPr>
          <w:rFonts w:asciiTheme="majorHAnsi" w:hAnsiTheme="majorHAnsi" w:cstheme="majorHAnsi"/>
          <w:color w:val="221F1F"/>
        </w:rPr>
        <w:t xml:space="preserve"> </w:t>
      </w:r>
      <w:r w:rsidRPr="006477F3">
        <w:rPr>
          <w:rFonts w:asciiTheme="majorHAnsi" w:hAnsiTheme="majorHAnsi" w:cstheme="majorHAnsi"/>
          <w:i/>
          <w:color w:val="221F1F"/>
        </w:rPr>
        <w:t>per</w:t>
      </w:r>
      <w:r w:rsidRPr="006477F3">
        <w:rPr>
          <w:rFonts w:asciiTheme="majorHAnsi" w:hAnsiTheme="majorHAnsi" w:cstheme="majorHAnsi"/>
          <w:color w:val="221F1F"/>
        </w:rPr>
        <w:t xml:space="preserve"> </w:t>
      </w:r>
      <w:r w:rsidRPr="006477F3">
        <w:rPr>
          <w:rFonts w:asciiTheme="majorHAnsi" w:hAnsiTheme="majorHAnsi" w:cstheme="majorHAnsi"/>
          <w:i/>
          <w:color w:val="221F1F"/>
        </w:rPr>
        <w:t>l’utilizzo</w:t>
      </w:r>
      <w:r w:rsidRPr="006477F3">
        <w:rPr>
          <w:rFonts w:asciiTheme="majorHAnsi" w:hAnsiTheme="majorHAnsi" w:cstheme="majorHAnsi"/>
          <w:color w:val="221F1F"/>
        </w:rPr>
        <w:t xml:space="preserve"> </w:t>
      </w:r>
      <w:r w:rsidRPr="006477F3">
        <w:rPr>
          <w:rFonts w:asciiTheme="majorHAnsi" w:hAnsiTheme="majorHAnsi" w:cstheme="majorHAnsi"/>
          <w:i/>
          <w:color w:val="221F1F"/>
        </w:rPr>
        <w:t>della</w:t>
      </w:r>
      <w:r w:rsidRPr="006477F3">
        <w:rPr>
          <w:rFonts w:asciiTheme="majorHAnsi" w:hAnsiTheme="majorHAnsi" w:cstheme="majorHAnsi"/>
          <w:color w:val="221F1F"/>
        </w:rPr>
        <w:t xml:space="preserve"> </w:t>
      </w:r>
      <w:r w:rsidRPr="006477F3">
        <w:rPr>
          <w:rFonts w:asciiTheme="majorHAnsi" w:hAnsiTheme="majorHAnsi" w:cstheme="majorHAnsi"/>
          <w:i/>
          <w:color w:val="221F1F"/>
        </w:rPr>
        <w:t>piattaforma</w:t>
      </w:r>
      <w:r w:rsidRPr="006477F3">
        <w:rPr>
          <w:rFonts w:asciiTheme="majorHAnsi" w:hAnsiTheme="majorHAnsi" w:cstheme="majorHAnsi"/>
          <w:color w:val="221F1F"/>
        </w:rPr>
        <w:t xml:space="preserve"> </w:t>
      </w:r>
      <w:r w:rsidRPr="006477F3">
        <w:rPr>
          <w:rFonts w:asciiTheme="majorHAnsi" w:hAnsiTheme="majorHAnsi" w:cstheme="majorHAnsi"/>
          <w:i/>
          <w:color w:val="221F1F"/>
        </w:rPr>
        <w:t>Sintel</w:t>
      </w:r>
      <w:r w:rsidRPr="006477F3">
        <w:rPr>
          <w:rFonts w:asciiTheme="majorHAnsi" w:hAnsiTheme="majorHAnsi" w:cstheme="majorHAnsi"/>
          <w:color w:val="221F1F"/>
        </w:rPr>
        <w:t xml:space="preserve"> che disciplina il funzionamento e l’utilizzo della Piattaforma.</w:t>
      </w:r>
    </w:p>
    <w:p w14:paraId="5D6C78AC" w14:textId="77777777" w:rsidR="00E74959" w:rsidRPr="006477F3" w:rsidRDefault="00E74959" w:rsidP="009D7E6E">
      <w:pPr>
        <w:pStyle w:val="Corpotesto"/>
        <w:spacing w:line="275" w:lineRule="exact"/>
        <w:ind w:left="0"/>
        <w:rPr>
          <w:rFonts w:asciiTheme="majorHAnsi" w:hAnsiTheme="majorHAnsi" w:cstheme="majorHAnsi"/>
        </w:rPr>
      </w:pPr>
      <w:r w:rsidRPr="006477F3">
        <w:rPr>
          <w:rFonts w:asciiTheme="majorHAnsi" w:hAnsiTheme="majorHAnsi" w:cstheme="majorHAnsi"/>
          <w:color w:val="221F1F"/>
        </w:rPr>
        <w:t>In</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ogni</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caso</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è</w:t>
      </w:r>
      <w:r w:rsidRPr="006477F3">
        <w:rPr>
          <w:rFonts w:asciiTheme="majorHAnsi" w:hAnsiTheme="majorHAnsi" w:cstheme="majorHAnsi"/>
          <w:color w:val="221F1F"/>
          <w:spacing w:val="-2"/>
        </w:rPr>
        <w:t xml:space="preserve"> indispensabile:</w:t>
      </w:r>
    </w:p>
    <w:p w14:paraId="255E33E8" w14:textId="77777777" w:rsidR="00E74959" w:rsidRPr="006477F3" w:rsidRDefault="00E74959" w:rsidP="0069424C">
      <w:pPr>
        <w:pStyle w:val="Paragrafoelenco"/>
        <w:widowControl w:val="0"/>
        <w:numPr>
          <w:ilvl w:val="0"/>
          <w:numId w:val="6"/>
        </w:numPr>
        <w:tabs>
          <w:tab w:val="left" w:pos="426"/>
        </w:tabs>
        <w:autoSpaceDE w:val="0"/>
        <w:autoSpaceDN w:val="0"/>
        <w:ind w:left="426" w:hanging="426"/>
        <w:contextualSpacing w:val="0"/>
        <w:jc w:val="both"/>
        <w:rPr>
          <w:rFonts w:asciiTheme="majorHAnsi" w:hAnsiTheme="majorHAnsi" w:cstheme="majorHAnsi"/>
        </w:rPr>
      </w:pPr>
      <w:r w:rsidRPr="006477F3">
        <w:rPr>
          <w:rFonts w:asciiTheme="majorHAnsi" w:hAnsiTheme="majorHAnsi" w:cstheme="majorHAnsi"/>
          <w:color w:val="221F1F"/>
        </w:rPr>
        <w:t xml:space="preserve">disporre almeno di un personal computer conforme agli standard aggiornati di mercato, con connessione internet e dotato di un comune browser idoneo ad operare in modo corretto sulla </w:t>
      </w:r>
      <w:r w:rsidRPr="006477F3">
        <w:rPr>
          <w:rFonts w:asciiTheme="majorHAnsi" w:hAnsiTheme="majorHAnsi" w:cstheme="majorHAnsi"/>
          <w:color w:val="221F1F"/>
          <w:spacing w:val="-2"/>
        </w:rPr>
        <w:t>Piattaforma;</w:t>
      </w:r>
    </w:p>
    <w:p w14:paraId="29FA0175" w14:textId="52CE823C" w:rsidR="00E74959" w:rsidRPr="006477F3" w:rsidRDefault="00E74959" w:rsidP="0069424C">
      <w:pPr>
        <w:pStyle w:val="Paragrafoelenco"/>
        <w:widowControl w:val="0"/>
        <w:numPr>
          <w:ilvl w:val="0"/>
          <w:numId w:val="6"/>
        </w:numPr>
        <w:tabs>
          <w:tab w:val="left" w:pos="426"/>
        </w:tabs>
        <w:autoSpaceDE w:val="0"/>
        <w:autoSpaceDN w:val="0"/>
        <w:ind w:left="426" w:hanging="426"/>
        <w:contextualSpacing w:val="0"/>
        <w:jc w:val="both"/>
        <w:rPr>
          <w:rFonts w:asciiTheme="majorHAnsi" w:hAnsiTheme="majorHAnsi" w:cstheme="majorHAnsi"/>
        </w:rPr>
      </w:pPr>
      <w:r w:rsidRPr="006477F3">
        <w:rPr>
          <w:rFonts w:asciiTheme="majorHAnsi" w:hAnsiTheme="majorHAnsi" w:cstheme="majorHAnsi"/>
          <w:color w:val="221F1F"/>
        </w:rPr>
        <w:t>disporre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un</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sistema</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pubblico</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per</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la</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gestione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dell’identità</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digitale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(SPID)</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cui</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all’articolo</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64</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del decreto legislativo 7 marzo 2005, n. 82 o di altri mezzi di identificazione elettronica per il riconoscimento reciproco transfrontaliero ai sensi del Regolamento eIDAS, fatto salvo quanto previsto dal paragrafo 1.3. del presente documento;</w:t>
      </w:r>
    </w:p>
    <w:p w14:paraId="57671921" w14:textId="4116C015" w:rsidR="00E74959" w:rsidRPr="006477F3" w:rsidRDefault="00E74959" w:rsidP="0069424C">
      <w:pPr>
        <w:pStyle w:val="Paragrafoelenco"/>
        <w:widowControl w:val="0"/>
        <w:numPr>
          <w:ilvl w:val="0"/>
          <w:numId w:val="6"/>
        </w:numPr>
        <w:tabs>
          <w:tab w:val="left" w:pos="426"/>
        </w:tabs>
        <w:autoSpaceDE w:val="0"/>
        <w:autoSpaceDN w:val="0"/>
        <w:ind w:left="426" w:hanging="426"/>
        <w:contextualSpacing w:val="0"/>
        <w:jc w:val="both"/>
        <w:rPr>
          <w:rFonts w:asciiTheme="majorHAnsi" w:hAnsiTheme="majorHAnsi" w:cstheme="majorHAnsi"/>
        </w:rPr>
      </w:pPr>
      <w:r w:rsidRPr="006477F3">
        <w:rPr>
          <w:rFonts w:asciiTheme="majorHAnsi" w:hAnsiTheme="majorHAnsi" w:cstheme="majorHAnsi"/>
          <w:color w:val="221F1F"/>
        </w:rPr>
        <w:t>avere un</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domicilio</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digitale</w:t>
      </w:r>
      <w:r w:rsidRPr="006477F3">
        <w:rPr>
          <w:rFonts w:asciiTheme="majorHAnsi" w:hAnsiTheme="majorHAnsi" w:cstheme="majorHAnsi"/>
          <w:color w:val="221F1F"/>
          <w:spacing w:val="-16"/>
        </w:rPr>
        <w:t xml:space="preserve"> </w:t>
      </w:r>
      <w:r w:rsidRPr="006477F3">
        <w:rPr>
          <w:rFonts w:asciiTheme="majorHAnsi" w:hAnsiTheme="majorHAnsi" w:cstheme="majorHAnsi"/>
          <w:color w:val="221F1F"/>
        </w:rPr>
        <w:t>presente</w:t>
      </w:r>
      <w:r w:rsidRPr="006477F3">
        <w:rPr>
          <w:rFonts w:asciiTheme="majorHAnsi" w:hAnsiTheme="majorHAnsi" w:cstheme="majorHAnsi"/>
          <w:color w:val="221F1F"/>
          <w:spacing w:val="-16"/>
        </w:rPr>
        <w:t xml:space="preserve"> </w:t>
      </w:r>
      <w:r w:rsidRPr="006477F3">
        <w:rPr>
          <w:rFonts w:asciiTheme="majorHAnsi" w:hAnsiTheme="majorHAnsi" w:cstheme="majorHAnsi"/>
          <w:color w:val="221F1F"/>
        </w:rPr>
        <w:t>negli</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indici</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cui</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agli</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articoli</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6-bis</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e</w:t>
      </w:r>
      <w:r w:rsidRPr="006477F3">
        <w:rPr>
          <w:rFonts w:asciiTheme="majorHAnsi" w:hAnsiTheme="majorHAnsi" w:cstheme="majorHAnsi"/>
          <w:color w:val="221F1F"/>
          <w:spacing w:val="-16"/>
        </w:rPr>
        <w:t xml:space="preserve"> </w:t>
      </w:r>
      <w:r w:rsidRPr="006477F3">
        <w:rPr>
          <w:rFonts w:asciiTheme="majorHAnsi" w:hAnsiTheme="majorHAnsi" w:cstheme="majorHAnsi"/>
          <w:color w:val="221F1F"/>
        </w:rPr>
        <w:t>6</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ter</w:t>
      </w:r>
      <w:r w:rsidRPr="006477F3">
        <w:rPr>
          <w:rFonts w:asciiTheme="majorHAnsi" w:hAnsiTheme="majorHAnsi" w:cstheme="majorHAnsi"/>
          <w:color w:val="221F1F"/>
          <w:spacing w:val="-16"/>
        </w:rPr>
        <w:t xml:space="preserve"> </w:t>
      </w:r>
      <w:r w:rsidRPr="006477F3">
        <w:rPr>
          <w:rFonts w:asciiTheme="majorHAnsi" w:hAnsiTheme="majorHAnsi" w:cstheme="majorHAnsi"/>
          <w:color w:val="221F1F"/>
        </w:rPr>
        <w:t>del</w:t>
      </w:r>
      <w:r w:rsidRPr="006477F3">
        <w:rPr>
          <w:rFonts w:asciiTheme="majorHAnsi" w:hAnsiTheme="majorHAnsi" w:cstheme="majorHAnsi"/>
          <w:color w:val="221F1F"/>
          <w:spacing w:val="-14"/>
        </w:rPr>
        <w:t xml:space="preserve"> </w:t>
      </w:r>
      <w:r w:rsidRPr="006477F3">
        <w:rPr>
          <w:rFonts w:asciiTheme="majorHAnsi" w:hAnsiTheme="majorHAnsi" w:cstheme="majorHAnsi"/>
          <w:color w:val="221F1F"/>
        </w:rPr>
        <w:t>decreto</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spacing w:val="-2"/>
        </w:rPr>
        <w:t>legislativo</w:t>
      </w:r>
      <w:r w:rsidR="009D7E6E" w:rsidRPr="006477F3">
        <w:rPr>
          <w:rFonts w:asciiTheme="majorHAnsi" w:hAnsiTheme="majorHAnsi" w:cstheme="majorHAnsi"/>
          <w:color w:val="221F1F"/>
          <w:spacing w:val="-2"/>
        </w:rPr>
        <w:t xml:space="preserve"> </w:t>
      </w:r>
      <w:r w:rsidR="009D7E6E" w:rsidRPr="006477F3">
        <w:rPr>
          <w:rFonts w:asciiTheme="majorHAnsi" w:hAnsiTheme="majorHAnsi" w:cstheme="majorHAnsi"/>
        </w:rPr>
        <w:t>7 marzo 2005, n. 82 o, per l’operatore economico transfrontaliero, un indirizzo di servizio</w:t>
      </w:r>
      <w:r w:rsidR="009D7E6E" w:rsidRPr="006477F3">
        <w:rPr>
          <w:rFonts w:asciiTheme="majorHAnsi" w:hAnsiTheme="majorHAnsi" w:cstheme="majorHAnsi"/>
          <w:color w:val="221F1F"/>
        </w:rPr>
        <w:t xml:space="preserve"> elettronico di recapito certificato qualificato ai sensi del Regolamento eIDAS, fatto salvo quanto previsto dal paragrafo 2.3. del presente documento;</w:t>
      </w:r>
    </w:p>
    <w:p w14:paraId="32D23B62" w14:textId="301A844E" w:rsidR="009D7E6E" w:rsidRPr="006477F3" w:rsidRDefault="009D7E6E" w:rsidP="0069424C">
      <w:pPr>
        <w:pStyle w:val="Paragrafoelenco"/>
        <w:widowControl w:val="0"/>
        <w:numPr>
          <w:ilvl w:val="0"/>
          <w:numId w:val="6"/>
        </w:numPr>
        <w:tabs>
          <w:tab w:val="left" w:pos="426"/>
        </w:tabs>
        <w:autoSpaceDE w:val="0"/>
        <w:autoSpaceDN w:val="0"/>
        <w:ind w:left="426" w:hanging="426"/>
        <w:contextualSpacing w:val="0"/>
        <w:jc w:val="both"/>
        <w:rPr>
          <w:rFonts w:asciiTheme="majorHAnsi" w:hAnsiTheme="majorHAnsi" w:cstheme="majorHAnsi"/>
        </w:rPr>
      </w:pPr>
      <w:r w:rsidRPr="006477F3">
        <w:rPr>
          <w:rFonts w:asciiTheme="majorHAnsi" w:hAnsiTheme="majorHAnsi" w:cstheme="majorHAnsi"/>
          <w:color w:val="221F1F"/>
        </w:rPr>
        <w:t>avere da parte del legale rappresentante dell’operatore economico (o da persona munita di idonei poteri di firma) un certificato di firma digitale - fatto salvo quanto previsto dal paragrafo 13 del presente documento -,</w:t>
      </w:r>
      <w:r w:rsidR="00A71DFF" w:rsidRPr="006477F3">
        <w:rPr>
          <w:rFonts w:asciiTheme="majorHAnsi" w:hAnsiTheme="majorHAnsi" w:cstheme="majorHAnsi"/>
          <w:color w:val="221F1F"/>
        </w:rPr>
        <w:t xml:space="preserve"> </w:t>
      </w:r>
      <w:r w:rsidRPr="006477F3">
        <w:rPr>
          <w:rFonts w:asciiTheme="majorHAnsi" w:hAnsiTheme="majorHAnsi" w:cstheme="majorHAnsi"/>
          <w:color w:val="221F1F"/>
        </w:rPr>
        <w:t>in corso di validità, rilasciato da:</w:t>
      </w:r>
    </w:p>
    <w:p w14:paraId="463CE3E9" w14:textId="77777777" w:rsidR="009D7E6E" w:rsidRPr="006477F3" w:rsidRDefault="009D7E6E" w:rsidP="0069424C">
      <w:pPr>
        <w:pStyle w:val="Paragrafoelenco"/>
        <w:widowControl w:val="0"/>
        <w:numPr>
          <w:ilvl w:val="1"/>
          <w:numId w:val="7"/>
        </w:numPr>
        <w:tabs>
          <w:tab w:val="left" w:pos="851"/>
        </w:tabs>
        <w:autoSpaceDE w:val="0"/>
        <w:autoSpaceDN w:val="0"/>
        <w:ind w:left="851" w:hanging="425"/>
        <w:contextualSpacing w:val="0"/>
        <w:jc w:val="both"/>
        <w:rPr>
          <w:rFonts w:asciiTheme="majorHAnsi" w:hAnsiTheme="majorHAnsi" w:cstheme="majorHAnsi"/>
        </w:rPr>
      </w:pPr>
      <w:r w:rsidRPr="006477F3">
        <w:rPr>
          <w:rFonts w:asciiTheme="majorHAnsi" w:hAnsiTheme="majorHAnsi" w:cstheme="majorHAnsi"/>
          <w:color w:val="221F1F"/>
        </w:rPr>
        <w:t>un</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organismo</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incluso</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nell’elenco</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pubblico</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dei</w:t>
      </w:r>
      <w:r w:rsidRPr="006477F3">
        <w:rPr>
          <w:rFonts w:asciiTheme="majorHAnsi" w:hAnsiTheme="majorHAnsi" w:cstheme="majorHAnsi"/>
          <w:color w:val="221F1F"/>
          <w:spacing w:val="39"/>
        </w:rPr>
        <w:t xml:space="preserve"> </w:t>
      </w:r>
      <w:r w:rsidRPr="006477F3">
        <w:rPr>
          <w:rFonts w:asciiTheme="majorHAnsi" w:hAnsiTheme="majorHAnsi" w:cstheme="majorHAnsi"/>
          <w:color w:val="221F1F"/>
        </w:rPr>
        <w:t>certificatori</w:t>
      </w:r>
      <w:r w:rsidRPr="006477F3">
        <w:rPr>
          <w:rFonts w:asciiTheme="majorHAnsi" w:hAnsiTheme="majorHAnsi" w:cstheme="majorHAnsi"/>
          <w:color w:val="221F1F"/>
          <w:spacing w:val="37"/>
        </w:rPr>
        <w:t xml:space="preserve"> </w:t>
      </w:r>
      <w:r w:rsidRPr="006477F3">
        <w:rPr>
          <w:rFonts w:asciiTheme="majorHAnsi" w:hAnsiTheme="majorHAnsi" w:cstheme="majorHAnsi"/>
          <w:color w:val="221F1F"/>
        </w:rPr>
        <w:t>tenuto</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dall’Agenzia</w:t>
      </w:r>
      <w:r w:rsidRPr="006477F3">
        <w:rPr>
          <w:rFonts w:asciiTheme="majorHAnsi" w:hAnsiTheme="majorHAnsi" w:cstheme="majorHAnsi"/>
          <w:color w:val="221F1F"/>
          <w:spacing w:val="35"/>
        </w:rPr>
        <w:t xml:space="preserve"> </w:t>
      </w:r>
      <w:r w:rsidRPr="006477F3">
        <w:rPr>
          <w:rFonts w:asciiTheme="majorHAnsi" w:hAnsiTheme="majorHAnsi" w:cstheme="majorHAnsi"/>
          <w:color w:val="221F1F"/>
        </w:rPr>
        <w:t>per</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l’Italia Digitale (previsto dall’articolo 29 del decreto legislativo n. 82/05);</w:t>
      </w:r>
    </w:p>
    <w:p w14:paraId="29003C29" w14:textId="77777777" w:rsidR="009D7E6E" w:rsidRPr="006477F3" w:rsidRDefault="009D7E6E" w:rsidP="0069424C">
      <w:pPr>
        <w:pStyle w:val="Paragrafoelenco"/>
        <w:widowControl w:val="0"/>
        <w:numPr>
          <w:ilvl w:val="1"/>
          <w:numId w:val="7"/>
        </w:numPr>
        <w:tabs>
          <w:tab w:val="left" w:pos="851"/>
        </w:tabs>
        <w:autoSpaceDE w:val="0"/>
        <w:autoSpaceDN w:val="0"/>
        <w:ind w:left="851" w:hanging="425"/>
        <w:contextualSpacing w:val="0"/>
        <w:jc w:val="both"/>
        <w:rPr>
          <w:rFonts w:asciiTheme="majorHAnsi" w:hAnsiTheme="majorHAnsi" w:cstheme="majorHAnsi"/>
        </w:rPr>
      </w:pPr>
      <w:r w:rsidRPr="006477F3">
        <w:rPr>
          <w:rFonts w:asciiTheme="majorHAnsi" w:hAnsiTheme="majorHAnsi" w:cstheme="majorHAnsi"/>
          <w:color w:val="221F1F"/>
        </w:rPr>
        <w:t>un</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certificatore</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operante</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in</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base</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a</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una</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licenza</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o</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autorizzazione</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rilasciata</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da</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uno</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Stato</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membro dell’Unione europea e in possesso dei requisiti previsti dal Regolamento n. 910/14;</w:t>
      </w:r>
    </w:p>
    <w:p w14:paraId="0910B48F" w14:textId="77777777" w:rsidR="009D7E6E" w:rsidRPr="006477F3" w:rsidRDefault="009D7E6E" w:rsidP="0069424C">
      <w:pPr>
        <w:pStyle w:val="Paragrafoelenco"/>
        <w:widowControl w:val="0"/>
        <w:numPr>
          <w:ilvl w:val="1"/>
          <w:numId w:val="7"/>
        </w:numPr>
        <w:tabs>
          <w:tab w:val="left" w:pos="851"/>
        </w:tabs>
        <w:autoSpaceDE w:val="0"/>
        <w:autoSpaceDN w:val="0"/>
        <w:ind w:left="851" w:hanging="425"/>
        <w:contextualSpacing w:val="0"/>
        <w:jc w:val="both"/>
        <w:rPr>
          <w:rFonts w:asciiTheme="majorHAnsi" w:hAnsiTheme="majorHAnsi" w:cstheme="majorHAnsi"/>
        </w:rPr>
      </w:pPr>
      <w:r w:rsidRPr="006477F3">
        <w:rPr>
          <w:rFonts w:asciiTheme="majorHAnsi" w:hAnsiTheme="majorHAnsi" w:cstheme="majorHAnsi"/>
          <w:color w:val="221F1F"/>
        </w:rPr>
        <w:t>un</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certificatore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stabilito</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in</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uno</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Stato</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non</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facente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parte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dell’Unione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europea</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quando</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ricorre</w:t>
      </w:r>
      <w:r w:rsidRPr="006477F3">
        <w:rPr>
          <w:rFonts w:asciiTheme="majorHAnsi" w:hAnsiTheme="majorHAnsi" w:cstheme="majorHAnsi"/>
          <w:color w:val="221F1F"/>
          <w:spacing w:val="-9"/>
        </w:rPr>
        <w:t xml:space="preserve"> </w:t>
      </w:r>
      <w:r w:rsidRPr="006477F3">
        <w:rPr>
          <w:rFonts w:asciiTheme="majorHAnsi" w:hAnsiTheme="majorHAnsi" w:cstheme="majorHAnsi"/>
          <w:color w:val="221F1F"/>
        </w:rPr>
        <w:t>una delle seguenti condizioni:</w:t>
      </w:r>
    </w:p>
    <w:p w14:paraId="60EB863F" w14:textId="77777777" w:rsidR="009D7E6E" w:rsidRPr="006477F3" w:rsidRDefault="009D7E6E" w:rsidP="0069424C">
      <w:pPr>
        <w:pStyle w:val="Paragrafoelenco"/>
        <w:widowControl w:val="0"/>
        <w:numPr>
          <w:ilvl w:val="2"/>
          <w:numId w:val="7"/>
        </w:numPr>
        <w:tabs>
          <w:tab w:val="left" w:pos="851"/>
          <w:tab w:val="left" w:pos="1417"/>
          <w:tab w:val="left" w:pos="1461"/>
        </w:tabs>
        <w:autoSpaceDE w:val="0"/>
        <w:autoSpaceDN w:val="0"/>
        <w:ind w:left="851" w:hanging="425"/>
        <w:contextualSpacing w:val="0"/>
        <w:jc w:val="both"/>
        <w:rPr>
          <w:rFonts w:asciiTheme="majorHAnsi" w:hAnsiTheme="majorHAnsi" w:cstheme="majorHAnsi"/>
        </w:rPr>
      </w:pPr>
      <w:r w:rsidRPr="006477F3">
        <w:rPr>
          <w:rFonts w:asciiTheme="majorHAnsi" w:hAnsiTheme="majorHAnsi" w:cstheme="majorHAnsi"/>
          <w:color w:val="221F1F"/>
        </w:rPr>
        <w:t>il</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certificatore</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possiede i</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requisiti</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previsti</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dal</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Regolamento</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n.</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910/14</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ed</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è qualificato</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in</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uno stato membro;</w:t>
      </w:r>
    </w:p>
    <w:p w14:paraId="468A16D9" w14:textId="6EDA721B" w:rsidR="009D7E6E" w:rsidRPr="006477F3" w:rsidRDefault="009D7E6E" w:rsidP="0069424C">
      <w:pPr>
        <w:pStyle w:val="Paragrafoelenco"/>
        <w:widowControl w:val="0"/>
        <w:numPr>
          <w:ilvl w:val="2"/>
          <w:numId w:val="7"/>
        </w:numPr>
        <w:tabs>
          <w:tab w:val="left" w:pos="851"/>
          <w:tab w:val="left" w:pos="1417"/>
          <w:tab w:val="left" w:pos="1566"/>
        </w:tabs>
        <w:autoSpaceDE w:val="0"/>
        <w:autoSpaceDN w:val="0"/>
        <w:ind w:left="851" w:hanging="425"/>
        <w:contextualSpacing w:val="0"/>
        <w:jc w:val="both"/>
        <w:rPr>
          <w:rFonts w:asciiTheme="majorHAnsi" w:hAnsiTheme="majorHAnsi" w:cstheme="majorHAnsi"/>
        </w:rPr>
      </w:pPr>
      <w:r w:rsidRPr="006477F3">
        <w:rPr>
          <w:rFonts w:asciiTheme="majorHAnsi" w:hAnsiTheme="majorHAnsi" w:cstheme="majorHAnsi"/>
          <w:color w:val="221F1F"/>
        </w:rPr>
        <w:lastRenderedPageBreak/>
        <w:t>il</w:t>
      </w:r>
      <w:r w:rsidRPr="006477F3">
        <w:rPr>
          <w:rFonts w:asciiTheme="majorHAnsi" w:hAnsiTheme="majorHAnsi" w:cstheme="majorHAnsi"/>
          <w:color w:val="221F1F"/>
          <w:spacing w:val="34"/>
        </w:rPr>
        <w:t xml:space="preserve"> </w:t>
      </w:r>
      <w:r w:rsidRPr="006477F3">
        <w:rPr>
          <w:rFonts w:asciiTheme="majorHAnsi" w:hAnsiTheme="majorHAnsi" w:cstheme="majorHAnsi"/>
          <w:color w:val="221F1F"/>
        </w:rPr>
        <w:t>certificato</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qualificato</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è</w:t>
      </w:r>
      <w:r w:rsidRPr="006477F3">
        <w:rPr>
          <w:rFonts w:asciiTheme="majorHAnsi" w:hAnsiTheme="majorHAnsi" w:cstheme="majorHAnsi"/>
          <w:color w:val="221F1F"/>
          <w:spacing w:val="35"/>
        </w:rPr>
        <w:t xml:space="preserve"> </w:t>
      </w:r>
      <w:r w:rsidRPr="006477F3">
        <w:rPr>
          <w:rFonts w:asciiTheme="majorHAnsi" w:hAnsiTheme="majorHAnsi" w:cstheme="majorHAnsi"/>
          <w:color w:val="221F1F"/>
        </w:rPr>
        <w:t>garantito</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da</w:t>
      </w:r>
      <w:r w:rsidRPr="006477F3">
        <w:rPr>
          <w:rFonts w:asciiTheme="majorHAnsi" w:hAnsiTheme="majorHAnsi" w:cstheme="majorHAnsi"/>
          <w:color w:val="221F1F"/>
          <w:spacing w:val="35"/>
        </w:rPr>
        <w:t xml:space="preserve"> </w:t>
      </w:r>
      <w:r w:rsidRPr="006477F3">
        <w:rPr>
          <w:rFonts w:asciiTheme="majorHAnsi" w:hAnsiTheme="majorHAnsi" w:cstheme="majorHAnsi"/>
          <w:color w:val="221F1F"/>
        </w:rPr>
        <w:t>un</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certificatore</w:t>
      </w:r>
      <w:r w:rsidRPr="006477F3">
        <w:rPr>
          <w:rFonts w:asciiTheme="majorHAnsi" w:hAnsiTheme="majorHAnsi" w:cstheme="majorHAnsi"/>
          <w:color w:val="221F1F"/>
          <w:spacing w:val="35"/>
        </w:rPr>
        <w:t xml:space="preserve"> </w:t>
      </w:r>
      <w:r w:rsidRPr="006477F3">
        <w:rPr>
          <w:rFonts w:asciiTheme="majorHAnsi" w:hAnsiTheme="majorHAnsi" w:cstheme="majorHAnsi"/>
          <w:color w:val="221F1F"/>
        </w:rPr>
        <w:t>stabilito</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nell’Unione</w:t>
      </w:r>
      <w:r w:rsidRPr="006477F3">
        <w:rPr>
          <w:rFonts w:asciiTheme="majorHAnsi" w:hAnsiTheme="majorHAnsi" w:cstheme="majorHAnsi"/>
          <w:color w:val="221F1F"/>
          <w:spacing w:val="35"/>
        </w:rPr>
        <w:t xml:space="preserve"> </w:t>
      </w:r>
      <w:r w:rsidRPr="006477F3">
        <w:rPr>
          <w:rFonts w:asciiTheme="majorHAnsi" w:hAnsiTheme="majorHAnsi" w:cstheme="majorHAnsi"/>
          <w:color w:val="221F1F"/>
        </w:rPr>
        <w:t>Europea,</w:t>
      </w:r>
      <w:r w:rsidRPr="006477F3">
        <w:rPr>
          <w:rFonts w:asciiTheme="majorHAnsi" w:hAnsiTheme="majorHAnsi" w:cstheme="majorHAnsi"/>
          <w:color w:val="221F1F"/>
          <w:spacing w:val="36"/>
        </w:rPr>
        <w:t xml:space="preserve"> </w:t>
      </w:r>
      <w:r w:rsidRPr="006477F3">
        <w:rPr>
          <w:rFonts w:asciiTheme="majorHAnsi" w:hAnsiTheme="majorHAnsi" w:cstheme="majorHAnsi"/>
          <w:color w:val="221F1F"/>
        </w:rPr>
        <w:t>in possesso dei requisiti di cui al regolamento n. 910014;</w:t>
      </w:r>
    </w:p>
    <w:p w14:paraId="4D586E11" w14:textId="55816ACF" w:rsidR="009D7E6E" w:rsidRPr="006477F3" w:rsidRDefault="009D7E6E" w:rsidP="0069424C">
      <w:pPr>
        <w:pStyle w:val="Paragrafoelenco"/>
        <w:widowControl w:val="0"/>
        <w:numPr>
          <w:ilvl w:val="2"/>
          <w:numId w:val="7"/>
        </w:numPr>
        <w:tabs>
          <w:tab w:val="left" w:pos="851"/>
          <w:tab w:val="left" w:pos="1417"/>
          <w:tab w:val="left" w:pos="1566"/>
        </w:tabs>
        <w:autoSpaceDE w:val="0"/>
        <w:autoSpaceDN w:val="0"/>
        <w:ind w:left="851" w:hanging="425"/>
        <w:contextualSpacing w:val="0"/>
        <w:jc w:val="both"/>
        <w:rPr>
          <w:rFonts w:asciiTheme="majorHAnsi" w:hAnsiTheme="majorHAnsi" w:cstheme="majorHAnsi"/>
        </w:rPr>
      </w:pPr>
      <w:r w:rsidRPr="006477F3">
        <w:rPr>
          <w:rFonts w:asciiTheme="majorHAnsi" w:hAnsiTheme="majorHAnsi" w:cstheme="majorHAnsi"/>
          <w:color w:val="221F1F"/>
        </w:rPr>
        <w:t>il certificato qualificato, o il certificatore, è riconosciuto in forza di un accordo bilaterale o multilaterale tra l’Unione Europea e paesi terzi o organizzazioni internazionali.</w:t>
      </w:r>
    </w:p>
    <w:p w14:paraId="627415C6" w14:textId="60EB7A10" w:rsidR="00007D50" w:rsidRPr="006477F3" w:rsidRDefault="00007D50" w:rsidP="00DB09C5">
      <w:pPr>
        <w:pStyle w:val="Nessunaspaziatura"/>
        <w:spacing w:line="276" w:lineRule="auto"/>
        <w:rPr>
          <w:rFonts w:asciiTheme="majorHAnsi" w:eastAsia="Times New Roman" w:hAnsiTheme="majorHAnsi" w:cstheme="majorHAnsi"/>
          <w:lang w:eastAsia="zh-CN"/>
        </w:rPr>
      </w:pPr>
    </w:p>
    <w:p w14:paraId="37A10C30" w14:textId="77777777" w:rsidR="009D7E6E" w:rsidRPr="006477F3" w:rsidRDefault="009D7E6E" w:rsidP="0069424C">
      <w:pPr>
        <w:pStyle w:val="Titolo7"/>
        <w:numPr>
          <w:ilvl w:val="1"/>
          <w:numId w:val="5"/>
        </w:numPr>
        <w:tabs>
          <w:tab w:val="num" w:pos="426"/>
        </w:tabs>
        <w:spacing w:before="1"/>
        <w:ind w:left="426" w:hanging="426"/>
        <w:jc w:val="both"/>
        <w:rPr>
          <w:rFonts w:cstheme="majorHAnsi"/>
          <w:i w:val="0"/>
          <w:iCs w:val="0"/>
          <w:color w:val="221F1F"/>
        </w:rPr>
      </w:pPr>
      <w:r w:rsidRPr="006477F3">
        <w:rPr>
          <w:rFonts w:cstheme="majorHAnsi"/>
          <w:i w:val="0"/>
          <w:iCs w:val="0"/>
          <w:color w:val="221F1F"/>
          <w:spacing w:val="-2"/>
        </w:rPr>
        <w:t>IDENTIFICAZIONE</w:t>
      </w:r>
    </w:p>
    <w:p w14:paraId="385D6D6C" w14:textId="77777777" w:rsidR="009D7E6E" w:rsidRPr="006477F3" w:rsidRDefault="009D7E6E" w:rsidP="009D7E6E">
      <w:pPr>
        <w:pStyle w:val="Corpotesto"/>
        <w:tabs>
          <w:tab w:val="num" w:pos="0"/>
        </w:tabs>
        <w:spacing w:before="119"/>
        <w:ind w:left="0"/>
        <w:rPr>
          <w:rFonts w:asciiTheme="majorHAnsi" w:hAnsiTheme="majorHAnsi" w:cstheme="majorHAnsi"/>
        </w:rPr>
      </w:pPr>
      <w:r w:rsidRPr="006477F3">
        <w:rPr>
          <w:rFonts w:asciiTheme="majorHAnsi" w:hAnsiTheme="majorHAnsi" w:cstheme="majorHAnsi"/>
          <w:color w:val="221F1F"/>
        </w:rPr>
        <w:t>Per</w:t>
      </w:r>
      <w:r w:rsidRPr="006477F3">
        <w:rPr>
          <w:rFonts w:asciiTheme="majorHAnsi" w:hAnsiTheme="majorHAnsi" w:cstheme="majorHAnsi"/>
          <w:color w:val="221F1F"/>
          <w:spacing w:val="-4"/>
        </w:rPr>
        <w:t xml:space="preserve"> </w:t>
      </w:r>
      <w:r w:rsidRPr="006477F3">
        <w:rPr>
          <w:rFonts w:asciiTheme="majorHAnsi" w:hAnsiTheme="majorHAnsi" w:cstheme="majorHAnsi"/>
          <w:color w:val="221F1F"/>
        </w:rPr>
        <w:t>poter</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presentare</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offerta</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è</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necessario</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accedere alla</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spacing w:val="-2"/>
        </w:rPr>
        <w:t>Piattaforma.</w:t>
      </w:r>
    </w:p>
    <w:p w14:paraId="733B95DB" w14:textId="77777777" w:rsidR="009D7E6E" w:rsidRPr="006477F3" w:rsidRDefault="009D7E6E" w:rsidP="009D7E6E">
      <w:pPr>
        <w:pStyle w:val="Corpotesto"/>
        <w:tabs>
          <w:tab w:val="num" w:pos="0"/>
        </w:tabs>
        <w:ind w:left="0"/>
        <w:rPr>
          <w:rFonts w:asciiTheme="majorHAnsi" w:hAnsiTheme="majorHAnsi" w:cstheme="majorHAnsi"/>
        </w:rPr>
      </w:pPr>
      <w:r w:rsidRPr="006477F3">
        <w:rPr>
          <w:rFonts w:asciiTheme="majorHAnsi" w:hAnsiTheme="majorHAnsi" w:cstheme="majorHAnsi"/>
          <w:color w:val="221F1F"/>
        </w:rPr>
        <w:t>L’accesso è gratuito ed è consentito a seguito dell’identificazione online dell’operatore economico. L’identificazione</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avviene</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o</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mediante</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il</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sistema</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pubblico</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per</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la</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gestione</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dell’identità</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digitale</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di cittadini</w:t>
      </w:r>
      <w:r w:rsidRPr="006477F3">
        <w:rPr>
          <w:rFonts w:asciiTheme="majorHAnsi" w:hAnsiTheme="majorHAnsi" w:cstheme="majorHAnsi"/>
          <w:color w:val="221F1F"/>
          <w:spacing w:val="80"/>
        </w:rPr>
        <w:t xml:space="preserve"> </w:t>
      </w:r>
      <w:r w:rsidRPr="006477F3">
        <w:rPr>
          <w:rFonts w:asciiTheme="majorHAnsi" w:hAnsiTheme="majorHAnsi" w:cstheme="majorHAnsi"/>
          <w:color w:val="221F1F"/>
        </w:rPr>
        <w:t>e</w:t>
      </w:r>
      <w:r w:rsidRPr="006477F3">
        <w:rPr>
          <w:rFonts w:asciiTheme="majorHAnsi" w:hAnsiTheme="majorHAnsi" w:cstheme="majorHAnsi"/>
          <w:color w:val="221F1F"/>
          <w:spacing w:val="80"/>
        </w:rPr>
        <w:t xml:space="preserve"> </w:t>
      </w:r>
      <w:r w:rsidRPr="006477F3">
        <w:rPr>
          <w:rFonts w:asciiTheme="majorHAnsi" w:hAnsiTheme="majorHAnsi" w:cstheme="majorHAnsi"/>
          <w:color w:val="221F1F"/>
        </w:rPr>
        <w:t>imprese</w:t>
      </w:r>
      <w:r w:rsidRPr="006477F3">
        <w:rPr>
          <w:rFonts w:asciiTheme="majorHAnsi" w:hAnsiTheme="majorHAnsi" w:cstheme="majorHAnsi"/>
          <w:color w:val="221F1F"/>
          <w:spacing w:val="80"/>
        </w:rPr>
        <w:t xml:space="preserve"> </w:t>
      </w:r>
      <w:r w:rsidRPr="006477F3">
        <w:rPr>
          <w:rFonts w:asciiTheme="majorHAnsi" w:hAnsiTheme="majorHAnsi" w:cstheme="majorHAnsi"/>
          <w:color w:val="221F1F"/>
        </w:rPr>
        <w:t>(SPID)</w:t>
      </w:r>
      <w:r w:rsidRPr="006477F3">
        <w:rPr>
          <w:rFonts w:asciiTheme="majorHAnsi" w:hAnsiTheme="majorHAnsi" w:cstheme="majorHAnsi"/>
          <w:color w:val="221F1F"/>
          <w:spacing w:val="80"/>
        </w:rPr>
        <w:t xml:space="preserve"> </w:t>
      </w:r>
      <w:r w:rsidRPr="006477F3">
        <w:rPr>
          <w:rFonts w:asciiTheme="majorHAnsi" w:hAnsiTheme="majorHAnsi" w:cstheme="majorHAnsi"/>
          <w:color w:val="221F1F"/>
        </w:rPr>
        <w:t>o</w:t>
      </w:r>
      <w:r w:rsidRPr="006477F3">
        <w:rPr>
          <w:rFonts w:asciiTheme="majorHAnsi" w:hAnsiTheme="majorHAnsi" w:cstheme="majorHAnsi"/>
          <w:color w:val="221F1F"/>
          <w:spacing w:val="80"/>
        </w:rPr>
        <w:t xml:space="preserve"> </w:t>
      </w:r>
      <w:r w:rsidRPr="006477F3">
        <w:rPr>
          <w:rFonts w:asciiTheme="majorHAnsi" w:hAnsiTheme="majorHAnsi" w:cstheme="majorHAnsi"/>
          <w:color w:val="221F1F"/>
        </w:rPr>
        <w:t>attraverso</w:t>
      </w:r>
      <w:r w:rsidRPr="006477F3">
        <w:rPr>
          <w:rFonts w:asciiTheme="majorHAnsi" w:hAnsiTheme="majorHAnsi" w:cstheme="majorHAnsi"/>
          <w:color w:val="221F1F"/>
          <w:spacing w:val="80"/>
        </w:rPr>
        <w:t xml:space="preserve"> </w:t>
      </w:r>
      <w:r w:rsidRPr="006477F3">
        <w:rPr>
          <w:rFonts w:asciiTheme="majorHAnsi" w:hAnsiTheme="majorHAnsi" w:cstheme="majorHAnsi"/>
          <w:color w:val="221F1F"/>
        </w:rPr>
        <w:t>gli</w:t>
      </w:r>
      <w:r w:rsidRPr="006477F3">
        <w:rPr>
          <w:rFonts w:asciiTheme="majorHAnsi" w:hAnsiTheme="majorHAnsi" w:cstheme="majorHAnsi"/>
          <w:color w:val="221F1F"/>
          <w:spacing w:val="80"/>
        </w:rPr>
        <w:t xml:space="preserve"> </w:t>
      </w:r>
      <w:r w:rsidRPr="006477F3">
        <w:rPr>
          <w:rFonts w:asciiTheme="majorHAnsi" w:hAnsiTheme="majorHAnsi" w:cstheme="majorHAnsi"/>
          <w:color w:val="221F1F"/>
        </w:rPr>
        <w:t>altri</w:t>
      </w:r>
      <w:r w:rsidRPr="006477F3">
        <w:rPr>
          <w:rFonts w:asciiTheme="majorHAnsi" w:hAnsiTheme="majorHAnsi" w:cstheme="majorHAnsi"/>
          <w:color w:val="221F1F"/>
          <w:spacing w:val="80"/>
        </w:rPr>
        <w:t xml:space="preserve"> </w:t>
      </w:r>
      <w:r w:rsidRPr="006477F3">
        <w:rPr>
          <w:rFonts w:asciiTheme="majorHAnsi" w:hAnsiTheme="majorHAnsi" w:cstheme="majorHAnsi"/>
          <w:color w:val="221F1F"/>
        </w:rPr>
        <w:t>mezzi</w:t>
      </w:r>
      <w:r w:rsidRPr="006477F3">
        <w:rPr>
          <w:rFonts w:asciiTheme="majorHAnsi" w:hAnsiTheme="majorHAnsi" w:cstheme="majorHAnsi"/>
          <w:color w:val="221F1F"/>
          <w:spacing w:val="80"/>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80"/>
        </w:rPr>
        <w:t xml:space="preserve"> </w:t>
      </w:r>
      <w:r w:rsidRPr="006477F3">
        <w:rPr>
          <w:rFonts w:asciiTheme="majorHAnsi" w:hAnsiTheme="majorHAnsi" w:cstheme="majorHAnsi"/>
          <w:color w:val="221F1F"/>
        </w:rPr>
        <w:t>identificazione</w:t>
      </w:r>
      <w:r w:rsidRPr="006477F3">
        <w:rPr>
          <w:rFonts w:asciiTheme="majorHAnsi" w:hAnsiTheme="majorHAnsi" w:cstheme="majorHAnsi"/>
          <w:color w:val="221F1F"/>
          <w:spacing w:val="80"/>
        </w:rPr>
        <w:t xml:space="preserve"> </w:t>
      </w:r>
      <w:r w:rsidRPr="006477F3">
        <w:rPr>
          <w:rFonts w:asciiTheme="majorHAnsi" w:hAnsiTheme="majorHAnsi" w:cstheme="majorHAnsi"/>
          <w:color w:val="221F1F"/>
        </w:rPr>
        <w:t>elettronica</w:t>
      </w:r>
      <w:r w:rsidRPr="006477F3">
        <w:rPr>
          <w:rFonts w:asciiTheme="majorHAnsi" w:hAnsiTheme="majorHAnsi" w:cstheme="majorHAnsi"/>
          <w:color w:val="221F1F"/>
          <w:spacing w:val="80"/>
        </w:rPr>
        <w:t xml:space="preserve"> </w:t>
      </w:r>
      <w:r w:rsidRPr="006477F3">
        <w:rPr>
          <w:rFonts w:asciiTheme="majorHAnsi" w:hAnsiTheme="majorHAnsi" w:cstheme="majorHAnsi"/>
          <w:color w:val="221F1F"/>
        </w:rPr>
        <w:t>per</w:t>
      </w:r>
      <w:r w:rsidRPr="006477F3">
        <w:rPr>
          <w:rFonts w:asciiTheme="majorHAnsi" w:hAnsiTheme="majorHAnsi" w:cstheme="majorHAnsi"/>
          <w:color w:val="221F1F"/>
          <w:spacing w:val="80"/>
        </w:rPr>
        <w:t xml:space="preserve"> </w:t>
      </w:r>
      <w:r w:rsidRPr="006477F3">
        <w:rPr>
          <w:rFonts w:asciiTheme="majorHAnsi" w:hAnsiTheme="majorHAnsi" w:cstheme="majorHAnsi"/>
          <w:color w:val="221F1F"/>
        </w:rPr>
        <w:t>il</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riconoscimento reciproco transfrontaliero ai sensi del Regolamento eIDAS, ovvero tramite il rilascio di specifiche credenziali; per eventuali modalità di identificazione digitale si rinvia a quanto previsto nella</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documentazione/manuali/guide</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disponibili</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direttamente</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sul</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Portale</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w:t>
      </w:r>
      <w:r w:rsidRPr="006477F3">
        <w:rPr>
          <w:rFonts w:asciiTheme="majorHAnsi" w:hAnsiTheme="majorHAnsi" w:cstheme="majorHAnsi"/>
          <w:i/>
          <w:color w:val="221F1F"/>
        </w:rPr>
        <w:t>Modalità</w:t>
      </w:r>
      <w:r w:rsidRPr="006477F3">
        <w:rPr>
          <w:rFonts w:asciiTheme="majorHAnsi" w:hAnsiTheme="majorHAnsi" w:cstheme="majorHAnsi"/>
          <w:color w:val="221F1F"/>
          <w:spacing w:val="40"/>
        </w:rPr>
        <w:t xml:space="preserve"> </w:t>
      </w:r>
      <w:r w:rsidRPr="006477F3">
        <w:rPr>
          <w:rFonts w:asciiTheme="majorHAnsi" w:hAnsiTheme="majorHAnsi" w:cstheme="majorHAnsi"/>
          <w:i/>
          <w:color w:val="221F1F"/>
        </w:rPr>
        <w:t>tecniche</w:t>
      </w:r>
      <w:r w:rsidRPr="006477F3">
        <w:rPr>
          <w:rFonts w:asciiTheme="majorHAnsi" w:hAnsiTheme="majorHAnsi" w:cstheme="majorHAnsi"/>
          <w:color w:val="221F1F"/>
          <w:spacing w:val="40"/>
        </w:rPr>
        <w:t xml:space="preserve"> </w:t>
      </w:r>
      <w:r w:rsidRPr="006477F3">
        <w:rPr>
          <w:rFonts w:asciiTheme="majorHAnsi" w:hAnsiTheme="majorHAnsi" w:cstheme="majorHAnsi"/>
          <w:i/>
          <w:color w:val="221F1F"/>
        </w:rPr>
        <w:t>per</w:t>
      </w:r>
      <w:r w:rsidRPr="006477F3">
        <w:rPr>
          <w:rFonts w:asciiTheme="majorHAnsi" w:hAnsiTheme="majorHAnsi" w:cstheme="majorHAnsi"/>
          <w:color w:val="221F1F"/>
          <w:spacing w:val="80"/>
        </w:rPr>
        <w:t xml:space="preserve"> </w:t>
      </w:r>
      <w:r w:rsidRPr="006477F3">
        <w:rPr>
          <w:rFonts w:asciiTheme="majorHAnsi" w:hAnsiTheme="majorHAnsi" w:cstheme="majorHAnsi"/>
          <w:i/>
          <w:color w:val="221F1F"/>
        </w:rPr>
        <w:t>l’utilizzo</w:t>
      </w:r>
      <w:r w:rsidRPr="006477F3">
        <w:rPr>
          <w:rFonts w:asciiTheme="majorHAnsi" w:hAnsiTheme="majorHAnsi" w:cstheme="majorHAnsi"/>
          <w:color w:val="221F1F"/>
        </w:rPr>
        <w:t xml:space="preserve"> </w:t>
      </w:r>
      <w:r w:rsidRPr="006477F3">
        <w:rPr>
          <w:rFonts w:asciiTheme="majorHAnsi" w:hAnsiTheme="majorHAnsi" w:cstheme="majorHAnsi"/>
          <w:i/>
          <w:color w:val="221F1F"/>
        </w:rPr>
        <w:t>della</w:t>
      </w:r>
      <w:r w:rsidRPr="006477F3">
        <w:rPr>
          <w:rFonts w:asciiTheme="majorHAnsi" w:hAnsiTheme="majorHAnsi" w:cstheme="majorHAnsi"/>
          <w:color w:val="221F1F"/>
        </w:rPr>
        <w:t xml:space="preserve"> </w:t>
      </w:r>
      <w:r w:rsidRPr="006477F3">
        <w:rPr>
          <w:rFonts w:asciiTheme="majorHAnsi" w:hAnsiTheme="majorHAnsi" w:cstheme="majorHAnsi"/>
          <w:i/>
          <w:color w:val="221F1F"/>
        </w:rPr>
        <w:t>piattaforma</w:t>
      </w:r>
      <w:r w:rsidRPr="006477F3">
        <w:rPr>
          <w:rFonts w:asciiTheme="majorHAnsi" w:hAnsiTheme="majorHAnsi" w:cstheme="majorHAnsi"/>
          <w:color w:val="221F1F"/>
        </w:rPr>
        <w:t xml:space="preserve"> </w:t>
      </w:r>
      <w:r w:rsidRPr="006477F3">
        <w:rPr>
          <w:rFonts w:asciiTheme="majorHAnsi" w:hAnsiTheme="majorHAnsi" w:cstheme="majorHAnsi"/>
          <w:i/>
          <w:color w:val="221F1F"/>
        </w:rPr>
        <w:t>Sintel</w:t>
      </w:r>
      <w:r w:rsidRPr="006477F3">
        <w:rPr>
          <w:rFonts w:asciiTheme="majorHAnsi" w:hAnsiTheme="majorHAnsi" w:cstheme="majorHAnsi"/>
          <w:color w:val="221F1F"/>
        </w:rPr>
        <w:t xml:space="preserve"> </w:t>
      </w:r>
      <w:r w:rsidRPr="006477F3">
        <w:rPr>
          <w:rFonts w:asciiTheme="majorHAnsi" w:hAnsiTheme="majorHAnsi" w:cstheme="majorHAnsi"/>
          <w:i/>
          <w:color w:val="221F1F"/>
        </w:rPr>
        <w:t>e</w:t>
      </w:r>
      <w:r w:rsidRPr="006477F3">
        <w:rPr>
          <w:rFonts w:asciiTheme="majorHAnsi" w:hAnsiTheme="majorHAnsi" w:cstheme="majorHAnsi"/>
          <w:color w:val="221F1F"/>
        </w:rPr>
        <w:t xml:space="preserve"> </w:t>
      </w:r>
      <w:r w:rsidRPr="006477F3">
        <w:rPr>
          <w:rFonts w:asciiTheme="majorHAnsi" w:hAnsiTheme="majorHAnsi" w:cstheme="majorHAnsi"/>
          <w:i/>
          <w:color w:val="221F1F"/>
        </w:rPr>
        <w:t>nelle</w:t>
      </w:r>
      <w:r w:rsidRPr="006477F3">
        <w:rPr>
          <w:rFonts w:asciiTheme="majorHAnsi" w:hAnsiTheme="majorHAnsi" w:cstheme="majorHAnsi"/>
          <w:color w:val="221F1F"/>
        </w:rPr>
        <w:t xml:space="preserve"> </w:t>
      </w:r>
      <w:r w:rsidRPr="006477F3">
        <w:rPr>
          <w:rFonts w:asciiTheme="majorHAnsi" w:hAnsiTheme="majorHAnsi" w:cstheme="majorHAnsi"/>
          <w:i/>
          <w:color w:val="221F1F"/>
        </w:rPr>
        <w:t>guide</w:t>
      </w:r>
      <w:r w:rsidRPr="006477F3">
        <w:rPr>
          <w:rFonts w:asciiTheme="majorHAnsi" w:hAnsiTheme="majorHAnsi" w:cstheme="majorHAnsi"/>
          <w:color w:val="221F1F"/>
        </w:rPr>
        <w:t xml:space="preserve"> </w:t>
      </w:r>
      <w:r w:rsidRPr="006477F3">
        <w:rPr>
          <w:rFonts w:asciiTheme="majorHAnsi" w:hAnsiTheme="majorHAnsi" w:cstheme="majorHAnsi"/>
          <w:i/>
          <w:color w:val="221F1F"/>
        </w:rPr>
        <w:t>ivi</w:t>
      </w:r>
      <w:r w:rsidRPr="006477F3">
        <w:rPr>
          <w:rFonts w:asciiTheme="majorHAnsi" w:hAnsiTheme="majorHAnsi" w:cstheme="majorHAnsi"/>
          <w:color w:val="221F1F"/>
        </w:rPr>
        <w:t xml:space="preserve"> </w:t>
      </w:r>
      <w:r w:rsidRPr="006477F3">
        <w:rPr>
          <w:rFonts w:asciiTheme="majorHAnsi" w:hAnsiTheme="majorHAnsi" w:cstheme="majorHAnsi"/>
          <w:i/>
          <w:color w:val="221F1F"/>
        </w:rPr>
        <w:t>richiamate)</w:t>
      </w:r>
      <w:r w:rsidRPr="006477F3">
        <w:rPr>
          <w:rFonts w:asciiTheme="majorHAnsi" w:hAnsiTheme="majorHAnsi" w:cstheme="majorHAnsi"/>
          <w:color w:val="221F1F"/>
        </w:rPr>
        <w:t>.</w:t>
      </w:r>
    </w:p>
    <w:p w14:paraId="4FF0F9A7" w14:textId="77777777" w:rsidR="009D7E6E" w:rsidRPr="006477F3" w:rsidRDefault="009D7E6E" w:rsidP="009D7E6E">
      <w:pPr>
        <w:pStyle w:val="Corpotesto"/>
        <w:tabs>
          <w:tab w:val="num" w:pos="0"/>
        </w:tabs>
        <w:ind w:left="0"/>
        <w:rPr>
          <w:rFonts w:asciiTheme="majorHAnsi" w:hAnsiTheme="majorHAnsi" w:cstheme="majorHAnsi"/>
        </w:rPr>
      </w:pPr>
      <w:r w:rsidRPr="006477F3">
        <w:rPr>
          <w:rFonts w:asciiTheme="majorHAnsi" w:hAnsiTheme="majorHAnsi" w:cstheme="majorHAnsi"/>
          <w:color w:val="221F1F"/>
        </w:rPr>
        <w:t>Una volta completata la procedura di identificazione, ad ogni operatore economico identificato viene attribuito un profilo da utilizzare nella procedura.</w:t>
      </w:r>
    </w:p>
    <w:p w14:paraId="44B6A31C" w14:textId="6AA668B0" w:rsidR="009D7E6E" w:rsidRPr="006477F3" w:rsidRDefault="009D7E6E" w:rsidP="009D7E6E">
      <w:pPr>
        <w:pStyle w:val="Nessunaspaziatura"/>
        <w:tabs>
          <w:tab w:val="num" w:pos="0"/>
        </w:tabs>
        <w:spacing w:line="276" w:lineRule="auto"/>
        <w:jc w:val="both"/>
        <w:rPr>
          <w:rFonts w:asciiTheme="majorHAnsi" w:eastAsia="Times New Roman" w:hAnsiTheme="majorHAnsi" w:cstheme="majorHAnsi"/>
          <w:lang w:eastAsia="zh-CN"/>
        </w:rPr>
      </w:pPr>
      <w:r w:rsidRPr="006477F3">
        <w:rPr>
          <w:rFonts w:asciiTheme="majorHAnsi" w:hAnsiTheme="majorHAnsi" w:cstheme="majorHAnsi"/>
          <w:color w:val="221F1F"/>
        </w:rPr>
        <w:t>Eventuali</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richieste</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assistenza</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tipo</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informatico</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riguardanti</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l’identificazione</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e</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l’accesso</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alla Piattaforma devono essere effettuate contattando il Contact Center di ARIA n. 800.116.738.</w:t>
      </w:r>
    </w:p>
    <w:p w14:paraId="78A37B55" w14:textId="40293D09" w:rsidR="00007D50" w:rsidRPr="006477F3" w:rsidRDefault="00007D50" w:rsidP="00DB09C5">
      <w:pPr>
        <w:pStyle w:val="Nessunaspaziatura"/>
        <w:spacing w:line="276" w:lineRule="auto"/>
        <w:rPr>
          <w:rFonts w:asciiTheme="majorHAnsi" w:eastAsia="Times New Roman" w:hAnsiTheme="majorHAnsi" w:cstheme="majorHAnsi"/>
          <w:lang w:eastAsia="zh-CN"/>
        </w:rPr>
      </w:pPr>
    </w:p>
    <w:p w14:paraId="3D4544A8" w14:textId="77777777" w:rsidR="004148E8" w:rsidRPr="006477F3" w:rsidRDefault="004148E8" w:rsidP="00DB09C5">
      <w:pPr>
        <w:pStyle w:val="Nessunaspaziatura"/>
        <w:spacing w:line="276" w:lineRule="auto"/>
        <w:rPr>
          <w:rFonts w:asciiTheme="majorHAnsi" w:eastAsia="Times New Roman" w:hAnsiTheme="majorHAnsi" w:cstheme="majorHAnsi"/>
          <w:lang w:eastAsia="zh-CN"/>
        </w:rPr>
      </w:pPr>
    </w:p>
    <w:p w14:paraId="4711D3B4" w14:textId="77777777" w:rsidR="00E54692" w:rsidRPr="006477F3" w:rsidRDefault="00E54692" w:rsidP="0069424C">
      <w:pPr>
        <w:pStyle w:val="Titolo3"/>
        <w:numPr>
          <w:ilvl w:val="0"/>
          <w:numId w:val="5"/>
        </w:numPr>
        <w:tabs>
          <w:tab w:val="num" w:pos="426"/>
          <w:tab w:val="left" w:pos="847"/>
        </w:tabs>
        <w:ind w:left="426" w:hanging="426"/>
        <w:rPr>
          <w:rFonts w:asciiTheme="majorHAnsi" w:hAnsiTheme="majorHAnsi" w:cstheme="majorHAnsi"/>
          <w:color w:val="221F1F"/>
        </w:rPr>
      </w:pPr>
      <w:r w:rsidRPr="006477F3">
        <w:rPr>
          <w:rFonts w:asciiTheme="majorHAnsi" w:hAnsiTheme="majorHAnsi" w:cstheme="majorHAnsi"/>
          <w:color w:val="221F1F"/>
        </w:rPr>
        <w:t>DOCUMENTAZIONE</w:t>
      </w:r>
      <w:r w:rsidRPr="006477F3">
        <w:rPr>
          <w:rFonts w:asciiTheme="majorHAnsi" w:hAnsiTheme="majorHAnsi" w:cstheme="majorHAnsi"/>
          <w:b w:val="0"/>
          <w:color w:val="221F1F"/>
          <w:spacing w:val="-14"/>
        </w:rPr>
        <w:t xml:space="preserve"> </w:t>
      </w:r>
      <w:r w:rsidRPr="006477F3">
        <w:rPr>
          <w:rFonts w:asciiTheme="majorHAnsi" w:hAnsiTheme="majorHAnsi" w:cstheme="majorHAnsi"/>
          <w:color w:val="221F1F"/>
        </w:rPr>
        <w:t>DI</w:t>
      </w:r>
      <w:r w:rsidRPr="006477F3">
        <w:rPr>
          <w:rFonts w:asciiTheme="majorHAnsi" w:hAnsiTheme="majorHAnsi" w:cstheme="majorHAnsi"/>
          <w:b w:val="0"/>
          <w:color w:val="221F1F"/>
          <w:spacing w:val="-14"/>
        </w:rPr>
        <w:t xml:space="preserve"> </w:t>
      </w:r>
      <w:r w:rsidRPr="006477F3">
        <w:rPr>
          <w:rFonts w:asciiTheme="majorHAnsi" w:hAnsiTheme="majorHAnsi" w:cstheme="majorHAnsi"/>
          <w:color w:val="221F1F"/>
        </w:rPr>
        <w:t>GARA,</w:t>
      </w:r>
      <w:r w:rsidRPr="006477F3">
        <w:rPr>
          <w:rFonts w:asciiTheme="majorHAnsi" w:hAnsiTheme="majorHAnsi" w:cstheme="majorHAnsi"/>
          <w:b w:val="0"/>
          <w:color w:val="221F1F"/>
          <w:spacing w:val="-13"/>
        </w:rPr>
        <w:t xml:space="preserve"> </w:t>
      </w:r>
      <w:r w:rsidRPr="006477F3">
        <w:rPr>
          <w:rFonts w:asciiTheme="majorHAnsi" w:hAnsiTheme="majorHAnsi" w:cstheme="majorHAnsi"/>
          <w:color w:val="221F1F"/>
        </w:rPr>
        <w:t>CHIARIMENTI</w:t>
      </w:r>
      <w:r w:rsidRPr="006477F3">
        <w:rPr>
          <w:rFonts w:asciiTheme="majorHAnsi" w:hAnsiTheme="majorHAnsi" w:cstheme="majorHAnsi"/>
          <w:b w:val="0"/>
          <w:color w:val="221F1F"/>
          <w:spacing w:val="-11"/>
        </w:rPr>
        <w:t xml:space="preserve"> </w:t>
      </w:r>
      <w:r w:rsidRPr="006477F3">
        <w:rPr>
          <w:rFonts w:asciiTheme="majorHAnsi" w:hAnsiTheme="majorHAnsi" w:cstheme="majorHAnsi"/>
          <w:color w:val="221F1F"/>
        </w:rPr>
        <w:t>E</w:t>
      </w:r>
      <w:r w:rsidRPr="006477F3">
        <w:rPr>
          <w:rFonts w:asciiTheme="majorHAnsi" w:hAnsiTheme="majorHAnsi" w:cstheme="majorHAnsi"/>
          <w:b w:val="0"/>
          <w:color w:val="221F1F"/>
          <w:spacing w:val="-14"/>
        </w:rPr>
        <w:t xml:space="preserve"> </w:t>
      </w:r>
      <w:r w:rsidRPr="006477F3">
        <w:rPr>
          <w:rFonts w:asciiTheme="majorHAnsi" w:hAnsiTheme="majorHAnsi" w:cstheme="majorHAnsi"/>
          <w:color w:val="221F1F"/>
          <w:spacing w:val="-2"/>
        </w:rPr>
        <w:t>COMUNICAZIONI</w:t>
      </w:r>
    </w:p>
    <w:p w14:paraId="11F3840C" w14:textId="77777777" w:rsidR="00E54692" w:rsidRPr="006477F3" w:rsidRDefault="00E54692" w:rsidP="0069424C">
      <w:pPr>
        <w:pStyle w:val="Paragrafoelenco"/>
        <w:widowControl w:val="0"/>
        <w:numPr>
          <w:ilvl w:val="1"/>
          <w:numId w:val="5"/>
        </w:numPr>
        <w:tabs>
          <w:tab w:val="num" w:pos="426"/>
          <w:tab w:val="left" w:pos="952"/>
        </w:tabs>
        <w:autoSpaceDE w:val="0"/>
        <w:autoSpaceDN w:val="0"/>
        <w:spacing w:before="298"/>
        <w:ind w:left="426" w:hanging="426"/>
        <w:contextualSpacing w:val="0"/>
        <w:rPr>
          <w:rFonts w:asciiTheme="majorHAnsi" w:hAnsiTheme="majorHAnsi" w:cstheme="majorHAnsi"/>
          <w:bCs/>
          <w:color w:val="221F1F"/>
        </w:rPr>
      </w:pPr>
      <w:r w:rsidRPr="006477F3">
        <w:rPr>
          <w:rFonts w:asciiTheme="majorHAnsi" w:hAnsiTheme="majorHAnsi" w:cstheme="majorHAnsi"/>
          <w:bCs/>
          <w:color w:val="221F1F"/>
        </w:rPr>
        <w:t>DOCUMENTI</w:t>
      </w:r>
      <w:r w:rsidRPr="006477F3">
        <w:rPr>
          <w:rFonts w:asciiTheme="majorHAnsi" w:hAnsiTheme="majorHAnsi" w:cstheme="majorHAnsi"/>
          <w:bCs/>
          <w:color w:val="221F1F"/>
          <w:spacing w:val="-12"/>
        </w:rPr>
        <w:t xml:space="preserve"> </w:t>
      </w:r>
      <w:r w:rsidRPr="006477F3">
        <w:rPr>
          <w:rFonts w:asciiTheme="majorHAnsi" w:hAnsiTheme="majorHAnsi" w:cstheme="majorHAnsi"/>
          <w:bCs/>
          <w:color w:val="221F1F"/>
        </w:rPr>
        <w:t>DI</w:t>
      </w:r>
      <w:r w:rsidRPr="006477F3">
        <w:rPr>
          <w:rFonts w:asciiTheme="majorHAnsi" w:hAnsiTheme="majorHAnsi" w:cstheme="majorHAnsi"/>
          <w:bCs/>
          <w:color w:val="221F1F"/>
          <w:spacing w:val="-10"/>
        </w:rPr>
        <w:t xml:space="preserve"> </w:t>
      </w:r>
      <w:r w:rsidRPr="006477F3">
        <w:rPr>
          <w:rFonts w:asciiTheme="majorHAnsi" w:hAnsiTheme="majorHAnsi" w:cstheme="majorHAnsi"/>
          <w:bCs/>
          <w:color w:val="221F1F"/>
          <w:spacing w:val="-4"/>
        </w:rPr>
        <w:t>GARA</w:t>
      </w:r>
    </w:p>
    <w:p w14:paraId="461D8A2A" w14:textId="77777777" w:rsidR="00E54692" w:rsidRPr="006477F3" w:rsidRDefault="00E54692" w:rsidP="00E54692">
      <w:pPr>
        <w:pStyle w:val="Corpotesto"/>
        <w:spacing w:before="118"/>
        <w:ind w:left="0"/>
        <w:rPr>
          <w:rFonts w:asciiTheme="majorHAnsi" w:hAnsiTheme="majorHAnsi" w:cstheme="majorHAnsi"/>
        </w:rPr>
      </w:pPr>
      <w:r w:rsidRPr="006477F3">
        <w:rPr>
          <w:rFonts w:asciiTheme="majorHAnsi" w:hAnsiTheme="majorHAnsi" w:cstheme="majorHAnsi"/>
          <w:color w:val="221F1F"/>
        </w:rPr>
        <w:t>La</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documentazione</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di gara</w:t>
      </w:r>
      <w:r w:rsidRPr="006477F3">
        <w:rPr>
          <w:rFonts w:asciiTheme="majorHAnsi" w:hAnsiTheme="majorHAnsi" w:cstheme="majorHAnsi"/>
          <w:color w:val="221F1F"/>
          <w:spacing w:val="-2"/>
        </w:rPr>
        <w:t xml:space="preserve"> comprende:</w:t>
      </w:r>
    </w:p>
    <w:p w14:paraId="764A43DF" w14:textId="0E502142" w:rsidR="00E54692" w:rsidRPr="006477F3" w:rsidRDefault="00E54692" w:rsidP="0069424C">
      <w:pPr>
        <w:pStyle w:val="Paragrafoelenco"/>
        <w:widowControl w:val="0"/>
        <w:numPr>
          <w:ilvl w:val="0"/>
          <w:numId w:val="8"/>
        </w:numPr>
        <w:tabs>
          <w:tab w:val="left" w:pos="426"/>
        </w:tabs>
        <w:autoSpaceDE w:val="0"/>
        <w:autoSpaceDN w:val="0"/>
        <w:ind w:left="426"/>
        <w:contextualSpacing w:val="0"/>
        <w:jc w:val="both"/>
        <w:rPr>
          <w:rFonts w:asciiTheme="majorHAnsi" w:hAnsiTheme="majorHAnsi" w:cstheme="majorHAnsi"/>
        </w:rPr>
      </w:pPr>
      <w:r w:rsidRPr="006477F3">
        <w:rPr>
          <w:rFonts w:asciiTheme="majorHAnsi" w:hAnsiTheme="majorHAnsi" w:cstheme="majorHAnsi"/>
          <w:color w:val="221F1F"/>
        </w:rPr>
        <w:t>la</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Lettera di invito</w:t>
      </w:r>
      <w:r w:rsidRPr="006477F3">
        <w:rPr>
          <w:rFonts w:asciiTheme="majorHAnsi" w:hAnsiTheme="majorHAnsi" w:cstheme="majorHAnsi"/>
          <w:color w:val="221F1F"/>
          <w:spacing w:val="-2"/>
        </w:rPr>
        <w:t>;</w:t>
      </w:r>
    </w:p>
    <w:p w14:paraId="64F88E3D" w14:textId="10FD0744" w:rsidR="00E54692" w:rsidRPr="006477F3" w:rsidRDefault="00E54692" w:rsidP="0069424C">
      <w:pPr>
        <w:pStyle w:val="Paragrafoelenco"/>
        <w:widowControl w:val="0"/>
        <w:numPr>
          <w:ilvl w:val="0"/>
          <w:numId w:val="8"/>
        </w:numPr>
        <w:tabs>
          <w:tab w:val="left" w:pos="426"/>
        </w:tabs>
        <w:autoSpaceDE w:val="0"/>
        <w:autoSpaceDN w:val="0"/>
        <w:ind w:left="426" w:right="563"/>
        <w:contextualSpacing w:val="0"/>
        <w:jc w:val="both"/>
        <w:rPr>
          <w:rFonts w:asciiTheme="majorHAnsi" w:hAnsiTheme="majorHAnsi" w:cstheme="majorHAnsi"/>
        </w:rPr>
      </w:pPr>
      <w:r w:rsidRPr="006477F3">
        <w:rPr>
          <w:rFonts w:asciiTheme="majorHAnsi" w:hAnsiTheme="majorHAnsi" w:cstheme="majorHAnsi"/>
          <w:color w:val="221F1F"/>
        </w:rPr>
        <w:t>il</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capitolato</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speciale</w:t>
      </w:r>
      <w:r w:rsidRPr="006477F3">
        <w:rPr>
          <w:rFonts w:asciiTheme="majorHAnsi" w:hAnsiTheme="majorHAnsi" w:cstheme="majorHAnsi"/>
          <w:color w:val="221F1F"/>
          <w:spacing w:val="-7"/>
        </w:rPr>
        <w:t xml:space="preserve"> </w:t>
      </w:r>
      <w:r w:rsidRPr="006477F3">
        <w:rPr>
          <w:rFonts w:asciiTheme="majorHAnsi" w:hAnsiTheme="majorHAnsi" w:cstheme="majorHAnsi"/>
          <w:color w:val="221F1F"/>
        </w:rPr>
        <w:t>completo</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allegati</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(planimetrie</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locali,</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dati</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del</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personale</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in</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servizio,</w:t>
      </w:r>
      <w:r w:rsidRPr="006477F3">
        <w:rPr>
          <w:rFonts w:asciiTheme="majorHAnsi" w:hAnsiTheme="majorHAnsi" w:cstheme="majorHAnsi"/>
          <w:color w:val="221F1F"/>
          <w:spacing w:val="-8"/>
        </w:rPr>
        <w:t xml:space="preserve"> </w:t>
      </w:r>
      <w:r w:rsidRPr="006477F3">
        <w:rPr>
          <w:rFonts w:asciiTheme="majorHAnsi" w:hAnsiTheme="majorHAnsi" w:cstheme="majorHAnsi"/>
          <w:color w:val="221F1F"/>
        </w:rPr>
        <w:t xml:space="preserve">regolamento </w:t>
      </w:r>
      <w:r w:rsidR="00240460" w:rsidRPr="006477F3">
        <w:rPr>
          <w:rFonts w:asciiTheme="majorHAnsi" w:hAnsiTheme="majorHAnsi" w:cstheme="majorHAnsi"/>
          <w:color w:val="221F1F"/>
        </w:rPr>
        <w:t xml:space="preserve">nido “Quattrocase”, </w:t>
      </w:r>
      <w:r w:rsidR="0048532C">
        <w:rPr>
          <w:rFonts w:asciiTheme="majorHAnsi" w:hAnsiTheme="majorHAnsi" w:cstheme="majorHAnsi"/>
          <w:color w:val="221F1F"/>
        </w:rPr>
        <w:t>estratto delibera di giunta tariffe</w:t>
      </w:r>
      <w:r w:rsidRPr="00BB024E">
        <w:rPr>
          <w:rFonts w:asciiTheme="majorHAnsi" w:hAnsiTheme="majorHAnsi" w:cstheme="majorHAnsi"/>
          <w:color w:val="221F1F"/>
        </w:rPr>
        <w:t>);</w:t>
      </w:r>
    </w:p>
    <w:p w14:paraId="20EC99DE" w14:textId="058B9116" w:rsidR="00E54692" w:rsidRPr="006477F3" w:rsidRDefault="00E54692" w:rsidP="0069424C">
      <w:pPr>
        <w:pStyle w:val="Paragrafoelenco"/>
        <w:widowControl w:val="0"/>
        <w:numPr>
          <w:ilvl w:val="0"/>
          <w:numId w:val="8"/>
        </w:numPr>
        <w:tabs>
          <w:tab w:val="left" w:pos="426"/>
        </w:tabs>
        <w:autoSpaceDE w:val="0"/>
        <w:autoSpaceDN w:val="0"/>
        <w:ind w:left="426" w:right="563"/>
        <w:contextualSpacing w:val="0"/>
        <w:jc w:val="both"/>
        <w:rPr>
          <w:rFonts w:asciiTheme="majorHAnsi" w:hAnsiTheme="majorHAnsi" w:cstheme="majorHAnsi"/>
        </w:rPr>
      </w:pPr>
      <w:r w:rsidRPr="006477F3">
        <w:rPr>
          <w:rFonts w:asciiTheme="majorHAnsi" w:hAnsiTheme="majorHAnsi" w:cstheme="majorHAnsi"/>
          <w:color w:val="221F1F"/>
        </w:rPr>
        <w:t>lo schema di contratto;</w:t>
      </w:r>
    </w:p>
    <w:p w14:paraId="5649AC04" w14:textId="11C0DD17" w:rsidR="00E54692" w:rsidRPr="006477F3" w:rsidRDefault="000D06C1" w:rsidP="0069424C">
      <w:pPr>
        <w:pStyle w:val="Paragrafoelenco"/>
        <w:widowControl w:val="0"/>
        <w:numPr>
          <w:ilvl w:val="0"/>
          <w:numId w:val="8"/>
        </w:numPr>
        <w:tabs>
          <w:tab w:val="left" w:pos="426"/>
        </w:tabs>
        <w:autoSpaceDE w:val="0"/>
        <w:autoSpaceDN w:val="0"/>
        <w:ind w:left="426" w:right="563"/>
        <w:contextualSpacing w:val="0"/>
        <w:jc w:val="both"/>
        <w:rPr>
          <w:rFonts w:asciiTheme="majorHAnsi" w:hAnsiTheme="majorHAnsi" w:cstheme="majorHAnsi"/>
        </w:rPr>
      </w:pPr>
      <w:r w:rsidRPr="006477F3">
        <w:rPr>
          <w:rFonts w:asciiTheme="majorHAnsi" w:hAnsiTheme="majorHAnsi" w:cstheme="majorHAnsi"/>
          <w:color w:val="221F1F"/>
        </w:rPr>
        <w:t>lo</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schema</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domanda</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partecipazione</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e</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dichiarazioni</w:t>
      </w:r>
      <w:r w:rsidRPr="006477F3">
        <w:rPr>
          <w:rFonts w:asciiTheme="majorHAnsi" w:hAnsiTheme="majorHAnsi" w:cstheme="majorHAnsi"/>
          <w:color w:val="221F1F"/>
          <w:spacing w:val="-1"/>
        </w:rPr>
        <w:t xml:space="preserve"> </w:t>
      </w:r>
      <w:r w:rsidRPr="006477F3">
        <w:rPr>
          <w:rFonts w:asciiTheme="majorHAnsi" w:hAnsiTheme="majorHAnsi" w:cstheme="majorHAnsi"/>
          <w:color w:val="221F1F"/>
        </w:rPr>
        <w:t>integrative</w:t>
      </w:r>
      <w:r w:rsidRPr="006477F3">
        <w:rPr>
          <w:rFonts w:asciiTheme="majorHAnsi" w:hAnsiTheme="majorHAnsi" w:cstheme="majorHAnsi"/>
          <w:color w:val="221F1F"/>
          <w:spacing w:val="-2"/>
        </w:rPr>
        <w:t xml:space="preserve"> connesse;</w:t>
      </w:r>
    </w:p>
    <w:p w14:paraId="4DD6AEEF" w14:textId="318C1BFF" w:rsidR="00E54692" w:rsidRPr="00BB024E" w:rsidRDefault="000D06C1" w:rsidP="0069424C">
      <w:pPr>
        <w:pStyle w:val="Paragrafoelenco"/>
        <w:widowControl w:val="0"/>
        <w:numPr>
          <w:ilvl w:val="0"/>
          <w:numId w:val="8"/>
        </w:numPr>
        <w:tabs>
          <w:tab w:val="left" w:pos="426"/>
        </w:tabs>
        <w:autoSpaceDE w:val="0"/>
        <w:autoSpaceDN w:val="0"/>
        <w:ind w:left="426" w:right="563"/>
        <w:contextualSpacing w:val="0"/>
        <w:jc w:val="both"/>
        <w:rPr>
          <w:rFonts w:asciiTheme="majorHAnsi" w:hAnsiTheme="majorHAnsi" w:cstheme="majorHAnsi"/>
        </w:rPr>
      </w:pPr>
      <w:r w:rsidRPr="006477F3">
        <w:rPr>
          <w:rFonts w:asciiTheme="majorHAnsi" w:hAnsiTheme="majorHAnsi" w:cstheme="majorHAnsi"/>
          <w:color w:val="221F1F"/>
        </w:rPr>
        <w:t>il</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DGUE</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Documento</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14"/>
        </w:rPr>
        <w:t xml:space="preserve"> </w:t>
      </w:r>
      <w:r w:rsidRPr="006477F3">
        <w:rPr>
          <w:rFonts w:asciiTheme="majorHAnsi" w:hAnsiTheme="majorHAnsi" w:cstheme="majorHAnsi"/>
          <w:color w:val="221F1F"/>
        </w:rPr>
        <w:t>gara</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unico</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europeo</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aggiornato</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al</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Codice</w:t>
      </w:r>
      <w:r w:rsidRPr="006477F3">
        <w:rPr>
          <w:rFonts w:asciiTheme="majorHAnsi" w:hAnsiTheme="majorHAnsi" w:cstheme="majorHAnsi"/>
          <w:color w:val="221F1F"/>
          <w:spacing w:val="-14"/>
        </w:rPr>
        <w:t xml:space="preserve"> </w:t>
      </w:r>
      <w:r w:rsidRPr="006477F3">
        <w:rPr>
          <w:rFonts w:asciiTheme="majorHAnsi" w:hAnsiTheme="majorHAnsi" w:cstheme="majorHAnsi"/>
          <w:color w:val="221F1F"/>
        </w:rPr>
        <w:t>n.36/2023</w:t>
      </w:r>
      <w:r w:rsidRPr="006477F3">
        <w:rPr>
          <w:rFonts w:asciiTheme="majorHAnsi" w:hAnsiTheme="majorHAnsi" w:cstheme="majorHAnsi"/>
          <w:color w:val="221F1F"/>
          <w:spacing w:val="-13"/>
        </w:rPr>
        <w:t xml:space="preserve"> </w:t>
      </w:r>
      <w:r w:rsidRPr="006477F3">
        <w:rPr>
          <w:rFonts w:asciiTheme="majorHAnsi" w:hAnsiTheme="majorHAnsi" w:cstheme="majorHAnsi"/>
          <w:color w:val="221F1F"/>
        </w:rPr>
        <w:t>formato</w:t>
      </w:r>
      <w:r w:rsidRPr="006477F3">
        <w:rPr>
          <w:rFonts w:asciiTheme="majorHAnsi" w:hAnsiTheme="majorHAnsi" w:cstheme="majorHAnsi"/>
          <w:color w:val="221F1F"/>
          <w:spacing w:val="-15"/>
        </w:rPr>
        <w:t xml:space="preserve"> </w:t>
      </w:r>
      <w:r w:rsidRPr="006477F3">
        <w:rPr>
          <w:rFonts w:asciiTheme="majorHAnsi" w:hAnsiTheme="majorHAnsi" w:cstheme="majorHAnsi"/>
          <w:color w:val="221F1F"/>
        </w:rPr>
        <w:t>xml</w:t>
      </w:r>
      <w:r w:rsidR="00BB024E">
        <w:rPr>
          <w:rFonts w:asciiTheme="majorHAnsi" w:hAnsiTheme="majorHAnsi" w:cstheme="majorHAnsi"/>
          <w:color w:val="221F1F"/>
          <w:spacing w:val="-2"/>
        </w:rPr>
        <w:t>.</w:t>
      </w:r>
    </w:p>
    <w:p w14:paraId="53A0757F" w14:textId="77777777" w:rsidR="000D06C1" w:rsidRPr="006477F3" w:rsidRDefault="000D06C1" w:rsidP="000D06C1">
      <w:pPr>
        <w:pStyle w:val="Corpotesto"/>
        <w:spacing w:before="275" w:line="265" w:lineRule="exact"/>
        <w:ind w:left="0"/>
        <w:rPr>
          <w:rFonts w:asciiTheme="majorHAnsi" w:hAnsiTheme="majorHAnsi" w:cstheme="majorHAnsi"/>
        </w:rPr>
      </w:pPr>
      <w:r w:rsidRPr="006477F3">
        <w:rPr>
          <w:rFonts w:asciiTheme="majorHAnsi" w:hAnsiTheme="majorHAnsi" w:cstheme="majorHAnsi"/>
          <w:color w:val="221F1F"/>
        </w:rPr>
        <w:t>La</w:t>
      </w:r>
      <w:r w:rsidRPr="006477F3">
        <w:rPr>
          <w:rFonts w:asciiTheme="majorHAnsi" w:hAnsiTheme="majorHAnsi" w:cstheme="majorHAnsi"/>
          <w:color w:val="221F1F"/>
          <w:spacing w:val="-5"/>
        </w:rPr>
        <w:t xml:space="preserve"> </w:t>
      </w:r>
      <w:r w:rsidRPr="006477F3">
        <w:rPr>
          <w:rFonts w:asciiTheme="majorHAnsi" w:hAnsiTheme="majorHAnsi" w:cstheme="majorHAnsi"/>
          <w:color w:val="221F1F"/>
        </w:rPr>
        <w:t>documentazione</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di gara</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è</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accessibile</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gratuitamente,</w:t>
      </w:r>
      <w:r w:rsidRPr="006477F3">
        <w:rPr>
          <w:rFonts w:asciiTheme="majorHAnsi" w:hAnsiTheme="majorHAnsi" w:cstheme="majorHAnsi"/>
          <w:color w:val="221F1F"/>
          <w:spacing w:val="-3"/>
        </w:rPr>
        <w:t xml:space="preserve"> </w:t>
      </w:r>
      <w:r w:rsidRPr="006477F3">
        <w:rPr>
          <w:rFonts w:asciiTheme="majorHAnsi" w:hAnsiTheme="majorHAnsi" w:cstheme="majorHAnsi"/>
          <w:color w:val="221F1F"/>
        </w:rPr>
        <w:t>per</w:t>
      </w:r>
      <w:r w:rsidRPr="006477F3">
        <w:rPr>
          <w:rFonts w:asciiTheme="majorHAnsi" w:hAnsiTheme="majorHAnsi" w:cstheme="majorHAnsi"/>
          <w:color w:val="221F1F"/>
          <w:spacing w:val="-2"/>
        </w:rPr>
        <w:t xml:space="preserve"> </w:t>
      </w:r>
      <w:r w:rsidRPr="006477F3">
        <w:rPr>
          <w:rFonts w:asciiTheme="majorHAnsi" w:hAnsiTheme="majorHAnsi" w:cstheme="majorHAnsi"/>
          <w:color w:val="221F1F"/>
        </w:rPr>
        <w:t xml:space="preserve">via </w:t>
      </w:r>
      <w:r w:rsidRPr="006477F3">
        <w:rPr>
          <w:rFonts w:asciiTheme="majorHAnsi" w:hAnsiTheme="majorHAnsi" w:cstheme="majorHAnsi"/>
          <w:color w:val="221F1F"/>
          <w:spacing w:val="-2"/>
        </w:rPr>
        <w:t>elettronica:</w:t>
      </w:r>
    </w:p>
    <w:p w14:paraId="081B4292" w14:textId="44EABF76" w:rsidR="000D06C1" w:rsidRPr="006477F3" w:rsidRDefault="000D06C1" w:rsidP="0069424C">
      <w:pPr>
        <w:pStyle w:val="Paragrafoelenco"/>
        <w:widowControl w:val="0"/>
        <w:numPr>
          <w:ilvl w:val="1"/>
          <w:numId w:val="8"/>
        </w:numPr>
        <w:tabs>
          <w:tab w:val="left" w:pos="426"/>
        </w:tabs>
        <w:autoSpaceDE w:val="0"/>
        <w:autoSpaceDN w:val="0"/>
        <w:spacing w:before="19" w:line="201" w:lineRule="auto"/>
        <w:ind w:left="426" w:right="566" w:hanging="426"/>
        <w:contextualSpacing w:val="0"/>
        <w:rPr>
          <w:rFonts w:asciiTheme="majorHAnsi" w:hAnsiTheme="majorHAnsi" w:cstheme="majorHAnsi"/>
        </w:rPr>
      </w:pPr>
      <w:r w:rsidRPr="006477F3">
        <w:rPr>
          <w:rFonts w:asciiTheme="majorHAnsi" w:hAnsiTheme="majorHAnsi" w:cstheme="majorHAnsi"/>
          <w:color w:val="221F1F"/>
        </w:rPr>
        <w:t>sulla</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piattaforma</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telematica</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negoziazione</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di</w:t>
      </w:r>
      <w:r w:rsidRPr="006477F3">
        <w:rPr>
          <w:rFonts w:asciiTheme="majorHAnsi" w:hAnsiTheme="majorHAnsi" w:cstheme="majorHAnsi"/>
          <w:color w:val="221F1F"/>
          <w:spacing w:val="40"/>
        </w:rPr>
        <w:t xml:space="preserve"> </w:t>
      </w:r>
      <w:r w:rsidRPr="006477F3">
        <w:rPr>
          <w:rFonts w:asciiTheme="majorHAnsi" w:hAnsiTheme="majorHAnsi" w:cstheme="majorHAnsi"/>
          <w:color w:val="221F1F"/>
        </w:rPr>
        <w:t>Sintel</w:t>
      </w:r>
      <w:r w:rsidR="0048532C">
        <w:rPr>
          <w:rFonts w:asciiTheme="majorHAnsi" w:hAnsiTheme="majorHAnsi" w:cstheme="majorHAnsi"/>
          <w:color w:val="221F1F"/>
        </w:rPr>
        <w:t>.</w:t>
      </w:r>
    </w:p>
    <w:p w14:paraId="542C4AEA" w14:textId="7EAEA938" w:rsidR="000D06C1" w:rsidRPr="006477F3" w:rsidRDefault="000D06C1" w:rsidP="00DB09C5">
      <w:pPr>
        <w:pStyle w:val="Nessunaspaziatura"/>
        <w:spacing w:line="276" w:lineRule="auto"/>
        <w:rPr>
          <w:rFonts w:asciiTheme="majorHAnsi" w:eastAsia="Times New Roman" w:hAnsiTheme="majorHAnsi" w:cstheme="majorHAnsi"/>
          <w:lang w:eastAsia="zh-CN"/>
        </w:rPr>
      </w:pPr>
    </w:p>
    <w:p w14:paraId="1D4E0CB6" w14:textId="77777777" w:rsidR="000D06C1" w:rsidRPr="006477F3" w:rsidRDefault="000D06C1" w:rsidP="000D06C1">
      <w:pPr>
        <w:pStyle w:val="Titolo8"/>
        <w:jc w:val="both"/>
        <w:rPr>
          <w:rFonts w:cstheme="majorHAnsi"/>
          <w:sz w:val="24"/>
          <w:szCs w:val="24"/>
        </w:rPr>
      </w:pPr>
      <w:r w:rsidRPr="006477F3">
        <w:rPr>
          <w:rFonts w:cstheme="majorHAnsi"/>
          <w:color w:val="221F1F"/>
          <w:sz w:val="24"/>
          <w:szCs w:val="24"/>
        </w:rPr>
        <w:t>In</w:t>
      </w:r>
      <w:r w:rsidRPr="006477F3">
        <w:rPr>
          <w:rFonts w:cstheme="majorHAnsi"/>
          <w:color w:val="221F1F"/>
          <w:spacing w:val="-3"/>
          <w:sz w:val="24"/>
          <w:szCs w:val="24"/>
        </w:rPr>
        <w:t xml:space="preserve"> </w:t>
      </w:r>
      <w:r w:rsidRPr="006477F3">
        <w:rPr>
          <w:rFonts w:cstheme="majorHAnsi"/>
          <w:color w:val="221F1F"/>
          <w:sz w:val="24"/>
          <w:szCs w:val="24"/>
        </w:rPr>
        <w:t>caso</w:t>
      </w:r>
      <w:r w:rsidRPr="006477F3">
        <w:rPr>
          <w:rFonts w:cstheme="majorHAnsi"/>
          <w:color w:val="221F1F"/>
          <w:spacing w:val="-4"/>
          <w:sz w:val="24"/>
          <w:szCs w:val="24"/>
        </w:rPr>
        <w:t xml:space="preserve"> </w:t>
      </w:r>
      <w:r w:rsidRPr="006477F3">
        <w:rPr>
          <w:rFonts w:cstheme="majorHAnsi"/>
          <w:color w:val="221F1F"/>
          <w:sz w:val="24"/>
          <w:szCs w:val="24"/>
        </w:rPr>
        <w:t>di</w:t>
      </w:r>
      <w:r w:rsidRPr="006477F3">
        <w:rPr>
          <w:rFonts w:cstheme="majorHAnsi"/>
          <w:color w:val="221F1F"/>
          <w:spacing w:val="-3"/>
          <w:sz w:val="24"/>
          <w:szCs w:val="24"/>
        </w:rPr>
        <w:t xml:space="preserve"> </w:t>
      </w:r>
      <w:r w:rsidRPr="006477F3">
        <w:rPr>
          <w:rFonts w:cstheme="majorHAnsi"/>
          <w:color w:val="221F1F"/>
          <w:sz w:val="24"/>
          <w:szCs w:val="24"/>
        </w:rPr>
        <w:t>conflitto</w:t>
      </w:r>
      <w:r w:rsidRPr="006477F3">
        <w:rPr>
          <w:rFonts w:cstheme="majorHAnsi"/>
          <w:color w:val="221F1F"/>
          <w:spacing w:val="-4"/>
          <w:sz w:val="24"/>
          <w:szCs w:val="24"/>
        </w:rPr>
        <w:t xml:space="preserve"> </w:t>
      </w:r>
      <w:r w:rsidRPr="006477F3">
        <w:rPr>
          <w:rFonts w:cstheme="majorHAnsi"/>
          <w:color w:val="221F1F"/>
          <w:sz w:val="24"/>
          <w:szCs w:val="24"/>
        </w:rPr>
        <w:t>tra</w:t>
      </w:r>
      <w:r w:rsidRPr="006477F3">
        <w:rPr>
          <w:rFonts w:cstheme="majorHAnsi"/>
          <w:color w:val="221F1F"/>
          <w:spacing w:val="-4"/>
          <w:sz w:val="24"/>
          <w:szCs w:val="24"/>
        </w:rPr>
        <w:t xml:space="preserve"> </w:t>
      </w:r>
      <w:r w:rsidRPr="006477F3">
        <w:rPr>
          <w:rFonts w:cstheme="majorHAnsi"/>
          <w:color w:val="221F1F"/>
          <w:sz w:val="24"/>
          <w:szCs w:val="24"/>
        </w:rPr>
        <w:t>le</w:t>
      </w:r>
      <w:r w:rsidRPr="006477F3">
        <w:rPr>
          <w:rFonts w:cstheme="majorHAnsi"/>
          <w:color w:val="221F1F"/>
          <w:spacing w:val="-4"/>
          <w:sz w:val="24"/>
          <w:szCs w:val="24"/>
        </w:rPr>
        <w:t xml:space="preserve"> </w:t>
      </w:r>
      <w:r w:rsidRPr="006477F3">
        <w:rPr>
          <w:rFonts w:cstheme="majorHAnsi"/>
          <w:color w:val="221F1F"/>
          <w:sz w:val="24"/>
          <w:szCs w:val="24"/>
        </w:rPr>
        <w:t>previsioni</w:t>
      </w:r>
      <w:r w:rsidRPr="006477F3">
        <w:rPr>
          <w:rFonts w:cstheme="majorHAnsi"/>
          <w:color w:val="221F1F"/>
          <w:spacing w:val="-3"/>
          <w:sz w:val="24"/>
          <w:szCs w:val="24"/>
        </w:rPr>
        <w:t xml:space="preserve"> </w:t>
      </w:r>
      <w:r w:rsidRPr="006477F3">
        <w:rPr>
          <w:rFonts w:cstheme="majorHAnsi"/>
          <w:color w:val="221F1F"/>
          <w:sz w:val="24"/>
          <w:szCs w:val="24"/>
        </w:rPr>
        <w:t>dei</w:t>
      </w:r>
      <w:r w:rsidRPr="006477F3">
        <w:rPr>
          <w:rFonts w:cstheme="majorHAnsi"/>
          <w:color w:val="221F1F"/>
          <w:spacing w:val="-3"/>
          <w:sz w:val="24"/>
          <w:szCs w:val="24"/>
        </w:rPr>
        <w:t xml:space="preserve"> </w:t>
      </w:r>
      <w:r w:rsidRPr="006477F3">
        <w:rPr>
          <w:rFonts w:cstheme="majorHAnsi"/>
          <w:color w:val="221F1F"/>
          <w:sz w:val="24"/>
          <w:szCs w:val="24"/>
        </w:rPr>
        <w:t>diversi</w:t>
      </w:r>
      <w:r w:rsidRPr="006477F3">
        <w:rPr>
          <w:rFonts w:cstheme="majorHAnsi"/>
          <w:color w:val="221F1F"/>
          <w:spacing w:val="-5"/>
          <w:sz w:val="24"/>
          <w:szCs w:val="24"/>
        </w:rPr>
        <w:t xml:space="preserve"> </w:t>
      </w:r>
      <w:r w:rsidRPr="006477F3">
        <w:rPr>
          <w:rFonts w:cstheme="majorHAnsi"/>
          <w:color w:val="221F1F"/>
          <w:sz w:val="24"/>
          <w:szCs w:val="24"/>
        </w:rPr>
        <w:t>atti</w:t>
      </w:r>
      <w:r w:rsidRPr="006477F3">
        <w:rPr>
          <w:rFonts w:cstheme="majorHAnsi"/>
          <w:color w:val="221F1F"/>
          <w:spacing w:val="-3"/>
          <w:sz w:val="24"/>
          <w:szCs w:val="24"/>
        </w:rPr>
        <w:t xml:space="preserve"> </w:t>
      </w:r>
      <w:r w:rsidRPr="006477F3">
        <w:rPr>
          <w:rFonts w:cstheme="majorHAnsi"/>
          <w:color w:val="221F1F"/>
          <w:sz w:val="24"/>
          <w:szCs w:val="24"/>
        </w:rPr>
        <w:t>di</w:t>
      </w:r>
      <w:r w:rsidRPr="006477F3">
        <w:rPr>
          <w:rFonts w:cstheme="majorHAnsi"/>
          <w:color w:val="221F1F"/>
          <w:spacing w:val="-3"/>
          <w:sz w:val="24"/>
          <w:szCs w:val="24"/>
        </w:rPr>
        <w:t xml:space="preserve"> </w:t>
      </w:r>
      <w:r w:rsidRPr="006477F3">
        <w:rPr>
          <w:rFonts w:cstheme="majorHAnsi"/>
          <w:color w:val="221F1F"/>
          <w:sz w:val="24"/>
          <w:szCs w:val="24"/>
        </w:rPr>
        <w:t>gara,</w:t>
      </w:r>
      <w:r w:rsidRPr="006477F3">
        <w:rPr>
          <w:rFonts w:cstheme="majorHAnsi"/>
          <w:color w:val="221F1F"/>
          <w:spacing w:val="-4"/>
          <w:sz w:val="24"/>
          <w:szCs w:val="24"/>
        </w:rPr>
        <w:t xml:space="preserve"> </w:t>
      </w:r>
      <w:r w:rsidRPr="006477F3">
        <w:rPr>
          <w:rFonts w:cstheme="majorHAnsi"/>
          <w:color w:val="221F1F"/>
          <w:sz w:val="24"/>
          <w:szCs w:val="24"/>
        </w:rPr>
        <w:t>la</w:t>
      </w:r>
      <w:r w:rsidRPr="006477F3">
        <w:rPr>
          <w:rFonts w:cstheme="majorHAnsi"/>
          <w:color w:val="221F1F"/>
          <w:spacing w:val="-4"/>
          <w:sz w:val="24"/>
          <w:szCs w:val="24"/>
        </w:rPr>
        <w:t xml:space="preserve"> </w:t>
      </w:r>
      <w:r w:rsidRPr="006477F3">
        <w:rPr>
          <w:rFonts w:cstheme="majorHAnsi"/>
          <w:color w:val="221F1F"/>
          <w:sz w:val="24"/>
          <w:szCs w:val="24"/>
        </w:rPr>
        <w:t>prevalenza</w:t>
      </w:r>
      <w:r w:rsidRPr="006477F3">
        <w:rPr>
          <w:rFonts w:cstheme="majorHAnsi"/>
          <w:color w:val="221F1F"/>
          <w:spacing w:val="-4"/>
          <w:sz w:val="24"/>
          <w:szCs w:val="24"/>
        </w:rPr>
        <w:t xml:space="preserve"> </w:t>
      </w:r>
      <w:r w:rsidRPr="006477F3">
        <w:rPr>
          <w:rFonts w:cstheme="majorHAnsi"/>
          <w:color w:val="221F1F"/>
          <w:sz w:val="24"/>
          <w:szCs w:val="24"/>
        </w:rPr>
        <w:t>sarà</w:t>
      </w:r>
      <w:r w:rsidRPr="006477F3">
        <w:rPr>
          <w:rFonts w:cstheme="majorHAnsi"/>
          <w:color w:val="221F1F"/>
          <w:spacing w:val="-4"/>
          <w:sz w:val="24"/>
          <w:szCs w:val="24"/>
        </w:rPr>
        <w:t xml:space="preserve"> </w:t>
      </w:r>
      <w:r w:rsidRPr="006477F3">
        <w:rPr>
          <w:rFonts w:cstheme="majorHAnsi"/>
          <w:color w:val="221F1F"/>
          <w:sz w:val="24"/>
          <w:szCs w:val="24"/>
        </w:rPr>
        <w:t>stabilita rispettando la seguente gerarchia:</w:t>
      </w:r>
    </w:p>
    <w:p w14:paraId="015FE4BE" w14:textId="5E6CAF75" w:rsidR="000D06C1" w:rsidRPr="006477F3" w:rsidRDefault="000D06C1" w:rsidP="0069424C">
      <w:pPr>
        <w:pStyle w:val="Paragrafoelenco"/>
        <w:widowControl w:val="0"/>
        <w:numPr>
          <w:ilvl w:val="0"/>
          <w:numId w:val="9"/>
        </w:numPr>
        <w:tabs>
          <w:tab w:val="left" w:pos="426"/>
        </w:tabs>
        <w:autoSpaceDE w:val="0"/>
        <w:autoSpaceDN w:val="0"/>
        <w:ind w:left="426" w:hanging="426"/>
        <w:contextualSpacing w:val="0"/>
        <w:jc w:val="both"/>
        <w:rPr>
          <w:rFonts w:asciiTheme="majorHAnsi" w:hAnsiTheme="majorHAnsi" w:cstheme="majorHAnsi"/>
        </w:rPr>
      </w:pPr>
      <w:r w:rsidRPr="006477F3">
        <w:rPr>
          <w:rFonts w:asciiTheme="majorHAnsi" w:hAnsiTheme="majorHAnsi" w:cstheme="majorHAnsi"/>
          <w:color w:val="221F1F"/>
        </w:rPr>
        <w:t>Lettera di invito</w:t>
      </w:r>
      <w:r w:rsidRPr="006477F3">
        <w:rPr>
          <w:rFonts w:asciiTheme="majorHAnsi" w:hAnsiTheme="majorHAnsi" w:cstheme="majorHAnsi"/>
          <w:color w:val="221F1F"/>
          <w:spacing w:val="-4"/>
        </w:rPr>
        <w:t>;</w:t>
      </w:r>
    </w:p>
    <w:p w14:paraId="56D6FA47" w14:textId="77777777" w:rsidR="000D06C1" w:rsidRPr="006477F3" w:rsidRDefault="000D06C1" w:rsidP="0069424C">
      <w:pPr>
        <w:pStyle w:val="Paragrafoelenco"/>
        <w:widowControl w:val="0"/>
        <w:numPr>
          <w:ilvl w:val="0"/>
          <w:numId w:val="9"/>
        </w:numPr>
        <w:tabs>
          <w:tab w:val="left" w:pos="426"/>
        </w:tabs>
        <w:autoSpaceDE w:val="0"/>
        <w:autoSpaceDN w:val="0"/>
        <w:ind w:left="426" w:hanging="426"/>
        <w:contextualSpacing w:val="0"/>
        <w:jc w:val="both"/>
        <w:rPr>
          <w:rFonts w:asciiTheme="majorHAnsi" w:hAnsiTheme="majorHAnsi" w:cstheme="majorHAnsi"/>
        </w:rPr>
      </w:pPr>
      <w:r w:rsidRPr="006477F3">
        <w:rPr>
          <w:rFonts w:asciiTheme="majorHAnsi" w:hAnsiTheme="majorHAnsi" w:cstheme="majorHAnsi"/>
          <w:color w:val="221F1F"/>
        </w:rPr>
        <w:t>Capitolato</w:t>
      </w:r>
      <w:r w:rsidRPr="006477F3">
        <w:rPr>
          <w:rFonts w:asciiTheme="majorHAnsi" w:hAnsiTheme="majorHAnsi" w:cstheme="majorHAnsi"/>
          <w:color w:val="221F1F"/>
          <w:spacing w:val="-4"/>
        </w:rPr>
        <w:t xml:space="preserve"> </w:t>
      </w:r>
      <w:r w:rsidRPr="006477F3">
        <w:rPr>
          <w:rFonts w:asciiTheme="majorHAnsi" w:hAnsiTheme="majorHAnsi" w:cstheme="majorHAnsi"/>
          <w:color w:val="221F1F"/>
          <w:spacing w:val="-2"/>
        </w:rPr>
        <w:t>Speciale.</w:t>
      </w:r>
    </w:p>
    <w:p w14:paraId="104C6AE9" w14:textId="77777777" w:rsidR="000D06C1" w:rsidRPr="006477F3" w:rsidRDefault="000D06C1" w:rsidP="000D06C1">
      <w:pPr>
        <w:pStyle w:val="Corpotesto"/>
        <w:spacing w:before="59"/>
        <w:ind w:left="0"/>
        <w:rPr>
          <w:rFonts w:asciiTheme="majorHAnsi" w:hAnsiTheme="majorHAnsi" w:cstheme="majorHAnsi"/>
        </w:rPr>
      </w:pPr>
    </w:p>
    <w:p w14:paraId="5EAE27E9" w14:textId="77777777" w:rsidR="000D06C1" w:rsidRPr="006477F3" w:rsidRDefault="000D06C1" w:rsidP="000D06C1">
      <w:pPr>
        <w:jc w:val="both"/>
        <w:rPr>
          <w:rFonts w:asciiTheme="majorHAnsi" w:hAnsiTheme="majorHAnsi" w:cstheme="majorHAnsi"/>
          <w:b/>
        </w:rPr>
      </w:pPr>
      <w:r w:rsidRPr="006477F3">
        <w:rPr>
          <w:rFonts w:asciiTheme="majorHAnsi" w:hAnsiTheme="majorHAnsi" w:cstheme="majorHAnsi"/>
          <w:b/>
          <w:color w:val="221F1F"/>
        </w:rPr>
        <w:t>In</w:t>
      </w:r>
      <w:r w:rsidRPr="006477F3">
        <w:rPr>
          <w:rFonts w:asciiTheme="majorHAnsi" w:hAnsiTheme="majorHAnsi" w:cstheme="majorHAnsi"/>
          <w:color w:val="221F1F"/>
          <w:spacing w:val="-3"/>
        </w:rPr>
        <w:t xml:space="preserve"> </w:t>
      </w:r>
      <w:r w:rsidRPr="006477F3">
        <w:rPr>
          <w:rFonts w:asciiTheme="majorHAnsi" w:hAnsiTheme="majorHAnsi" w:cstheme="majorHAnsi"/>
          <w:b/>
          <w:color w:val="221F1F"/>
        </w:rPr>
        <w:t>caso</w:t>
      </w:r>
      <w:r w:rsidRPr="006477F3">
        <w:rPr>
          <w:rFonts w:asciiTheme="majorHAnsi" w:hAnsiTheme="majorHAnsi" w:cstheme="majorHAnsi"/>
          <w:color w:val="221F1F"/>
          <w:spacing w:val="-4"/>
        </w:rPr>
        <w:t xml:space="preserve"> </w:t>
      </w:r>
      <w:r w:rsidRPr="006477F3">
        <w:rPr>
          <w:rFonts w:asciiTheme="majorHAnsi" w:hAnsiTheme="majorHAnsi" w:cstheme="majorHAnsi"/>
          <w:b/>
          <w:color w:val="221F1F"/>
        </w:rPr>
        <w:t>di</w:t>
      </w:r>
      <w:r w:rsidRPr="006477F3">
        <w:rPr>
          <w:rFonts w:asciiTheme="majorHAnsi" w:hAnsiTheme="majorHAnsi" w:cstheme="majorHAnsi"/>
          <w:color w:val="221F1F"/>
          <w:spacing w:val="-3"/>
        </w:rPr>
        <w:t xml:space="preserve"> </w:t>
      </w:r>
      <w:r w:rsidRPr="006477F3">
        <w:rPr>
          <w:rFonts w:asciiTheme="majorHAnsi" w:hAnsiTheme="majorHAnsi" w:cstheme="majorHAnsi"/>
          <w:b/>
          <w:color w:val="221F1F"/>
        </w:rPr>
        <w:t>contrasto</w:t>
      </w:r>
      <w:r w:rsidRPr="006477F3">
        <w:rPr>
          <w:rFonts w:asciiTheme="majorHAnsi" w:hAnsiTheme="majorHAnsi" w:cstheme="majorHAnsi"/>
          <w:color w:val="221F1F"/>
          <w:spacing w:val="-4"/>
        </w:rPr>
        <w:t xml:space="preserve"> </w:t>
      </w:r>
      <w:r w:rsidRPr="006477F3">
        <w:rPr>
          <w:rFonts w:asciiTheme="majorHAnsi" w:hAnsiTheme="majorHAnsi" w:cstheme="majorHAnsi"/>
          <w:b/>
          <w:color w:val="221F1F"/>
        </w:rPr>
        <w:t>tra</w:t>
      </w:r>
      <w:r w:rsidRPr="006477F3">
        <w:rPr>
          <w:rFonts w:asciiTheme="majorHAnsi" w:hAnsiTheme="majorHAnsi" w:cstheme="majorHAnsi"/>
          <w:color w:val="221F1F"/>
          <w:spacing w:val="-1"/>
        </w:rPr>
        <w:t xml:space="preserve"> </w:t>
      </w:r>
      <w:r w:rsidRPr="006477F3">
        <w:rPr>
          <w:rFonts w:asciiTheme="majorHAnsi" w:hAnsiTheme="majorHAnsi" w:cstheme="majorHAnsi"/>
          <w:b/>
          <w:color w:val="221F1F"/>
        </w:rPr>
        <w:t>gli</w:t>
      </w:r>
      <w:r w:rsidRPr="006477F3">
        <w:rPr>
          <w:rFonts w:asciiTheme="majorHAnsi" w:hAnsiTheme="majorHAnsi" w:cstheme="majorHAnsi"/>
          <w:color w:val="221F1F"/>
          <w:spacing w:val="-3"/>
        </w:rPr>
        <w:t xml:space="preserve"> </w:t>
      </w:r>
      <w:r w:rsidRPr="006477F3">
        <w:rPr>
          <w:rFonts w:asciiTheme="majorHAnsi" w:hAnsiTheme="majorHAnsi" w:cstheme="majorHAnsi"/>
          <w:b/>
          <w:color w:val="221F1F"/>
        </w:rPr>
        <w:t>atti</w:t>
      </w:r>
      <w:r w:rsidRPr="006477F3">
        <w:rPr>
          <w:rFonts w:asciiTheme="majorHAnsi" w:hAnsiTheme="majorHAnsi" w:cstheme="majorHAnsi"/>
          <w:color w:val="221F1F"/>
          <w:spacing w:val="-3"/>
        </w:rPr>
        <w:t xml:space="preserve"> </w:t>
      </w:r>
      <w:r w:rsidRPr="006477F3">
        <w:rPr>
          <w:rFonts w:asciiTheme="majorHAnsi" w:hAnsiTheme="majorHAnsi" w:cstheme="majorHAnsi"/>
          <w:b/>
          <w:color w:val="221F1F"/>
        </w:rPr>
        <w:t>di</w:t>
      </w:r>
      <w:r w:rsidRPr="006477F3">
        <w:rPr>
          <w:rFonts w:asciiTheme="majorHAnsi" w:hAnsiTheme="majorHAnsi" w:cstheme="majorHAnsi"/>
          <w:color w:val="221F1F"/>
          <w:spacing w:val="-3"/>
        </w:rPr>
        <w:t xml:space="preserve"> </w:t>
      </w:r>
      <w:r w:rsidRPr="006477F3">
        <w:rPr>
          <w:rFonts w:asciiTheme="majorHAnsi" w:hAnsiTheme="majorHAnsi" w:cstheme="majorHAnsi"/>
          <w:b/>
          <w:color w:val="221F1F"/>
        </w:rPr>
        <w:t>gara</w:t>
      </w:r>
      <w:r w:rsidRPr="006477F3">
        <w:rPr>
          <w:rFonts w:asciiTheme="majorHAnsi" w:hAnsiTheme="majorHAnsi" w:cstheme="majorHAnsi"/>
          <w:color w:val="221F1F"/>
          <w:spacing w:val="-4"/>
        </w:rPr>
        <w:t xml:space="preserve"> </w:t>
      </w:r>
      <w:r w:rsidRPr="006477F3">
        <w:rPr>
          <w:rFonts w:asciiTheme="majorHAnsi" w:hAnsiTheme="majorHAnsi" w:cstheme="majorHAnsi"/>
          <w:b/>
          <w:color w:val="221F1F"/>
        </w:rPr>
        <w:t>e</w:t>
      </w:r>
      <w:r w:rsidRPr="006477F3">
        <w:rPr>
          <w:rFonts w:asciiTheme="majorHAnsi" w:hAnsiTheme="majorHAnsi" w:cstheme="majorHAnsi"/>
          <w:color w:val="221F1F"/>
          <w:spacing w:val="-4"/>
        </w:rPr>
        <w:t xml:space="preserve"> </w:t>
      </w:r>
      <w:r w:rsidRPr="006477F3">
        <w:rPr>
          <w:rFonts w:asciiTheme="majorHAnsi" w:hAnsiTheme="majorHAnsi" w:cstheme="majorHAnsi"/>
          <w:b/>
          <w:color w:val="221F1F"/>
        </w:rPr>
        <w:t>i</w:t>
      </w:r>
      <w:r w:rsidRPr="006477F3">
        <w:rPr>
          <w:rFonts w:asciiTheme="majorHAnsi" w:hAnsiTheme="majorHAnsi" w:cstheme="majorHAnsi"/>
          <w:color w:val="221F1F"/>
          <w:spacing w:val="-3"/>
        </w:rPr>
        <w:t xml:space="preserve"> </w:t>
      </w:r>
      <w:r w:rsidRPr="006477F3">
        <w:rPr>
          <w:rFonts w:asciiTheme="majorHAnsi" w:hAnsiTheme="majorHAnsi" w:cstheme="majorHAnsi"/>
          <w:b/>
          <w:color w:val="221F1F"/>
        </w:rPr>
        <w:t>dati</w:t>
      </w:r>
      <w:r w:rsidRPr="006477F3">
        <w:rPr>
          <w:rFonts w:asciiTheme="majorHAnsi" w:hAnsiTheme="majorHAnsi" w:cstheme="majorHAnsi"/>
          <w:color w:val="221F1F"/>
          <w:spacing w:val="-3"/>
        </w:rPr>
        <w:t xml:space="preserve"> </w:t>
      </w:r>
      <w:r w:rsidRPr="006477F3">
        <w:rPr>
          <w:rFonts w:asciiTheme="majorHAnsi" w:hAnsiTheme="majorHAnsi" w:cstheme="majorHAnsi"/>
          <w:b/>
          <w:color w:val="221F1F"/>
        </w:rPr>
        <w:t>strutturali</w:t>
      </w:r>
      <w:r w:rsidRPr="006477F3">
        <w:rPr>
          <w:rFonts w:asciiTheme="majorHAnsi" w:hAnsiTheme="majorHAnsi" w:cstheme="majorHAnsi"/>
          <w:color w:val="221F1F"/>
          <w:spacing w:val="-3"/>
        </w:rPr>
        <w:t xml:space="preserve"> </w:t>
      </w:r>
      <w:r w:rsidRPr="006477F3">
        <w:rPr>
          <w:rFonts w:asciiTheme="majorHAnsi" w:hAnsiTheme="majorHAnsi" w:cstheme="majorHAnsi"/>
          <w:b/>
          <w:color w:val="221F1F"/>
        </w:rPr>
        <w:t>caricati</w:t>
      </w:r>
      <w:r w:rsidRPr="006477F3">
        <w:rPr>
          <w:rFonts w:asciiTheme="majorHAnsi" w:hAnsiTheme="majorHAnsi" w:cstheme="majorHAnsi"/>
          <w:color w:val="221F1F"/>
          <w:spacing w:val="-3"/>
        </w:rPr>
        <w:t xml:space="preserve"> </w:t>
      </w:r>
      <w:r w:rsidRPr="006477F3">
        <w:rPr>
          <w:rFonts w:asciiTheme="majorHAnsi" w:hAnsiTheme="majorHAnsi" w:cstheme="majorHAnsi"/>
          <w:b/>
          <w:color w:val="221F1F"/>
        </w:rPr>
        <w:t>in</w:t>
      </w:r>
      <w:r w:rsidRPr="006477F3">
        <w:rPr>
          <w:rFonts w:asciiTheme="majorHAnsi" w:hAnsiTheme="majorHAnsi" w:cstheme="majorHAnsi"/>
          <w:color w:val="221F1F"/>
        </w:rPr>
        <w:t xml:space="preserve"> </w:t>
      </w:r>
      <w:r w:rsidRPr="006477F3">
        <w:rPr>
          <w:rFonts w:asciiTheme="majorHAnsi" w:hAnsiTheme="majorHAnsi" w:cstheme="majorHAnsi"/>
          <w:b/>
          <w:color w:val="221F1F"/>
        </w:rPr>
        <w:t>Piattaforma</w:t>
      </w:r>
      <w:r w:rsidRPr="006477F3">
        <w:rPr>
          <w:rFonts w:asciiTheme="majorHAnsi" w:hAnsiTheme="majorHAnsi" w:cstheme="majorHAnsi"/>
          <w:color w:val="221F1F"/>
          <w:spacing w:val="-4"/>
        </w:rPr>
        <w:t xml:space="preserve"> </w:t>
      </w:r>
      <w:r w:rsidRPr="006477F3">
        <w:rPr>
          <w:rFonts w:asciiTheme="majorHAnsi" w:hAnsiTheme="majorHAnsi" w:cstheme="majorHAnsi"/>
          <w:b/>
          <w:color w:val="221F1F"/>
        </w:rPr>
        <w:t>prevalgono</w:t>
      </w:r>
      <w:r w:rsidRPr="006477F3">
        <w:rPr>
          <w:rFonts w:asciiTheme="majorHAnsi" w:hAnsiTheme="majorHAnsi" w:cstheme="majorHAnsi"/>
          <w:color w:val="221F1F"/>
          <w:spacing w:val="-4"/>
        </w:rPr>
        <w:t xml:space="preserve"> </w:t>
      </w:r>
      <w:r w:rsidRPr="006477F3">
        <w:rPr>
          <w:rFonts w:asciiTheme="majorHAnsi" w:hAnsiTheme="majorHAnsi" w:cstheme="majorHAnsi"/>
          <w:b/>
          <w:color w:val="221F1F"/>
        </w:rPr>
        <w:t>i</w:t>
      </w:r>
      <w:r w:rsidRPr="006477F3">
        <w:rPr>
          <w:rFonts w:asciiTheme="majorHAnsi" w:hAnsiTheme="majorHAnsi" w:cstheme="majorHAnsi"/>
          <w:color w:val="221F1F"/>
        </w:rPr>
        <w:t xml:space="preserve"> </w:t>
      </w:r>
      <w:r w:rsidRPr="006477F3">
        <w:rPr>
          <w:rFonts w:asciiTheme="majorHAnsi" w:hAnsiTheme="majorHAnsi" w:cstheme="majorHAnsi"/>
          <w:b/>
          <w:color w:val="221F1F"/>
          <w:spacing w:val="-2"/>
        </w:rPr>
        <w:t>primi.</w:t>
      </w:r>
    </w:p>
    <w:p w14:paraId="0D9EB9E4" w14:textId="77777777" w:rsidR="000D06C1" w:rsidRPr="006477F3" w:rsidRDefault="000D06C1" w:rsidP="000D06C1">
      <w:pPr>
        <w:pStyle w:val="Nessunaspaziatura"/>
        <w:spacing w:line="276" w:lineRule="auto"/>
        <w:jc w:val="both"/>
        <w:rPr>
          <w:rFonts w:asciiTheme="majorHAnsi" w:eastAsia="Times New Roman" w:hAnsiTheme="majorHAnsi" w:cstheme="majorHAnsi"/>
          <w:lang w:eastAsia="zh-CN"/>
        </w:rPr>
      </w:pPr>
    </w:p>
    <w:p w14:paraId="211F9CED" w14:textId="77777777"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2.2</w:t>
      </w:r>
      <w:r w:rsidRPr="006477F3">
        <w:rPr>
          <w:rFonts w:asciiTheme="majorHAnsi" w:eastAsia="Times New Roman" w:hAnsiTheme="majorHAnsi" w:cstheme="majorHAnsi"/>
          <w:lang w:eastAsia="zh-CN"/>
        </w:rPr>
        <w:tab/>
        <w:t>CHIARIMENTI</w:t>
      </w:r>
    </w:p>
    <w:p w14:paraId="54D3E705" w14:textId="77777777"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É possibile ottenere chiarimenti sulla presente procedura mediante la proposizione di quesiti scritti da inoltrare all’Amministrazione aggiudicatrice, almeno 10 giorni prima della scadenza del termine fissato per la presentazione delle offerte in via telematica attraverso la funzione “Comunicazioni della procedura” presente sulla piattaforma Sintel.</w:t>
      </w:r>
    </w:p>
    <w:p w14:paraId="60528A20" w14:textId="77777777"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Le richieste di chiarimenti e le relative risposte sono formulate esclusivamente in lingua italiana.</w:t>
      </w:r>
    </w:p>
    <w:p w14:paraId="5989C943" w14:textId="08B82602"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 xml:space="preserve">Le risposte alle richieste di chiarimenti presentate in tempo utile sono fornite in formato elettronico almeno </w:t>
      </w:r>
      <w:r w:rsidR="00605C66">
        <w:rPr>
          <w:rFonts w:asciiTheme="majorHAnsi" w:eastAsia="Times New Roman" w:hAnsiTheme="majorHAnsi" w:cstheme="majorHAnsi"/>
          <w:lang w:eastAsia="zh-CN"/>
        </w:rPr>
        <w:t>4</w:t>
      </w:r>
      <w:r w:rsidRPr="006477F3">
        <w:rPr>
          <w:rFonts w:asciiTheme="majorHAnsi" w:eastAsia="Times New Roman" w:hAnsiTheme="majorHAnsi" w:cstheme="majorHAnsi"/>
          <w:lang w:eastAsia="zh-CN"/>
        </w:rPr>
        <w:t xml:space="preserve"> giorni prima della scadenza del termine fissato per la presentazione delle offerte, mediante la pubblicazione delle richieste in forma anonima e delle relative risposte sulla Piattaforma sezione documentazione di gara e sul sito istituzionale sezione </w:t>
      </w:r>
      <w:r w:rsidR="000C52A6">
        <w:rPr>
          <w:rFonts w:asciiTheme="majorHAnsi" w:eastAsia="Times New Roman" w:hAnsiTheme="majorHAnsi" w:cstheme="majorHAnsi"/>
          <w:lang w:eastAsia="zh-CN"/>
        </w:rPr>
        <w:t>Società</w:t>
      </w:r>
      <w:r w:rsidRPr="006477F3">
        <w:rPr>
          <w:rFonts w:asciiTheme="majorHAnsi" w:eastAsia="Times New Roman" w:hAnsiTheme="majorHAnsi" w:cstheme="majorHAnsi"/>
          <w:lang w:eastAsia="zh-CN"/>
        </w:rPr>
        <w:t xml:space="preserve"> Trasparente.</w:t>
      </w:r>
    </w:p>
    <w:p w14:paraId="15FAEECD" w14:textId="77777777"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Ai fini della presentazione dell’offerta, il concorrente è tenuto a consultare costantemente la Piattaforma telematica visionare costantemente tale sezione della Piattaforma.</w:t>
      </w:r>
    </w:p>
    <w:p w14:paraId="56A7F1AF" w14:textId="77777777"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Non viene fornita risposta alle richieste presentate con modalità diverse da quelle sopra indicate.</w:t>
      </w:r>
    </w:p>
    <w:p w14:paraId="03EF9DCB" w14:textId="77777777"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 xml:space="preserve"> </w:t>
      </w:r>
    </w:p>
    <w:p w14:paraId="1A8538B5" w14:textId="77777777"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2.3</w:t>
      </w:r>
      <w:r w:rsidRPr="006477F3">
        <w:rPr>
          <w:rFonts w:asciiTheme="majorHAnsi" w:eastAsia="Times New Roman" w:hAnsiTheme="majorHAnsi" w:cstheme="majorHAnsi"/>
          <w:lang w:eastAsia="zh-CN"/>
        </w:rPr>
        <w:tab/>
        <w:t>COMUNICAZIONI</w:t>
      </w:r>
    </w:p>
    <w:p w14:paraId="03DD47EE" w14:textId="77777777"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Tutte le comunicazioni e gli scambi di informazioni di cui alla presente procedura sono eseguiti utilizzando mezzi di comunicazione elettronici.</w:t>
      </w:r>
    </w:p>
    <w:p w14:paraId="5B1D3693" w14:textId="77777777"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Le comunicazioni tra stazione appaltante e operatori economici avvengono tramite la Piattaforma secondo le modalità previste dalla documentazione tecnica/manuali predisposti dal Gestore del Sistema. È onere esclusivo dell’operatore economico prenderne visione.</w:t>
      </w:r>
    </w:p>
    <w:p w14:paraId="0AC37953" w14:textId="77777777"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Per quanto non previsto dalla Piattaforma le comunicazioni avverranno tramite le ulteriori piattaforme dell’ecosistema nazionale di cui all’articolo 22 del Codice e, per quanto non previsto dalle predette piattaforme, mediante il domicilio digitale estratto da uno degli indici di cui agli articoli 6-bis, 6-ter, 6- quater, del decreto legislativo n. 82/05 o, per gli operatori economici transfrontalieri, attraverso un indirizzo di servizio elettronico di recapito certificato qualificato ai sensi del Regolamento eIDAS.</w:t>
      </w:r>
    </w:p>
    <w:p w14:paraId="0812296A" w14:textId="77777777"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In caso di malfunzionamento della piattaforma, la stazione appaltante provvederà all’invio di qualsiasi comunicazione al domicilio digitale presente negli indici di cui ai richiamati articoli 6-bis,6-ter, 6- quater del decreto legislativo n. 82/2005.</w:t>
      </w:r>
    </w:p>
    <w:p w14:paraId="3BCB8D31" w14:textId="6C1B0E49" w:rsidR="004148E8" w:rsidRPr="006477F3" w:rsidRDefault="004148E8" w:rsidP="00BB024E">
      <w:pPr>
        <w:pStyle w:val="Nessunaspaziatura"/>
        <w:spacing w:line="276" w:lineRule="auto"/>
        <w:jc w:val="center"/>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w:t>
      </w:r>
      <w:r w:rsidR="00BB024E">
        <w:rPr>
          <w:rFonts w:asciiTheme="majorHAnsi" w:eastAsia="Times New Roman" w:hAnsiTheme="majorHAnsi" w:cstheme="majorHAnsi"/>
          <w:lang w:eastAsia="zh-CN"/>
        </w:rPr>
        <w:t>*</w:t>
      </w:r>
      <w:r w:rsidRPr="006477F3">
        <w:rPr>
          <w:rFonts w:asciiTheme="majorHAnsi" w:eastAsia="Times New Roman" w:hAnsiTheme="majorHAnsi" w:cstheme="majorHAnsi"/>
          <w:lang w:eastAsia="zh-CN"/>
        </w:rPr>
        <w:t>*</w:t>
      </w:r>
    </w:p>
    <w:p w14:paraId="0AF467CC" w14:textId="77777777"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In caso di raggruppamenti temporanei, GEIE, aggregazioni di rete o consorzi ordinari, anche se non ancora costituiti formalmente, gli operatori economici raggruppati, aggregati o consorziati eleggono domicilio digitale presso il mandatario/capofila al fine della ricezione delle comunicazioni relative alla presente procedura.</w:t>
      </w:r>
    </w:p>
    <w:p w14:paraId="5D3EAC2A" w14:textId="77777777"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In caso di consorzi di cui all’art. 65, comma 2, lett. b), c) e d) del Codice, la comunicazione recapitata al consorzio si intende validamente resa a tutte le consorziate.</w:t>
      </w:r>
    </w:p>
    <w:p w14:paraId="655531AC" w14:textId="485FA3CB" w:rsidR="004148E8" w:rsidRPr="006477F3" w:rsidRDefault="004148E8" w:rsidP="004148E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In caso di avvalimento, la comunicazione recapitata all’offerente si intende validamente resa a tutti gli operatori economici ausiliari.</w:t>
      </w:r>
    </w:p>
    <w:p w14:paraId="3D725B74" w14:textId="77777777" w:rsidR="004148E8" w:rsidRPr="006477F3" w:rsidRDefault="004148E8" w:rsidP="000D06C1">
      <w:pPr>
        <w:pStyle w:val="Nessunaspaziatura"/>
        <w:spacing w:line="276" w:lineRule="auto"/>
        <w:jc w:val="both"/>
        <w:rPr>
          <w:rFonts w:asciiTheme="majorHAnsi" w:eastAsia="Times New Roman" w:hAnsiTheme="majorHAnsi" w:cstheme="majorHAnsi"/>
          <w:lang w:eastAsia="zh-CN"/>
        </w:rPr>
      </w:pPr>
    </w:p>
    <w:p w14:paraId="2A262451" w14:textId="0A1EBE9C" w:rsidR="00774B26" w:rsidRPr="006477F3" w:rsidRDefault="00774B26" w:rsidP="00BB024E">
      <w:pPr>
        <w:pStyle w:val="Nessunaspaziatura"/>
        <w:spacing w:line="276" w:lineRule="auto"/>
        <w:rPr>
          <w:rFonts w:asciiTheme="majorHAnsi" w:eastAsia="Microsoft YaHei UI" w:hAnsiTheme="majorHAnsi" w:cstheme="majorHAnsi"/>
          <w:b/>
          <w:bCs/>
        </w:rPr>
      </w:pPr>
      <w:r w:rsidRPr="006477F3">
        <w:rPr>
          <w:rFonts w:asciiTheme="majorHAnsi" w:hAnsiTheme="majorHAnsi" w:cstheme="majorHAnsi"/>
          <w:b/>
          <w:bCs/>
        </w:rPr>
        <w:lastRenderedPageBreak/>
        <w:t xml:space="preserve">3. </w:t>
      </w:r>
      <w:r w:rsidRPr="006477F3">
        <w:rPr>
          <w:rFonts w:asciiTheme="majorHAnsi" w:eastAsia="Garamond" w:hAnsiTheme="majorHAnsi" w:cstheme="majorHAnsi"/>
          <w:b/>
          <w:color w:val="000000"/>
        </w:rPr>
        <w:t>OGGETTO DELL’APPALTO, DURATA E VALORE</w:t>
      </w:r>
    </w:p>
    <w:p w14:paraId="144BEFDA" w14:textId="3D0CD8A2" w:rsidR="00774B26" w:rsidRPr="006477F3" w:rsidRDefault="00774B26" w:rsidP="00DB09C5">
      <w:pPr>
        <w:pStyle w:val="Default"/>
        <w:spacing w:line="276" w:lineRule="auto"/>
        <w:jc w:val="both"/>
        <w:rPr>
          <w:rFonts w:asciiTheme="majorHAnsi" w:hAnsiTheme="majorHAnsi" w:cstheme="majorHAnsi"/>
        </w:rPr>
      </w:pPr>
      <w:r w:rsidRPr="006477F3">
        <w:rPr>
          <w:rFonts w:asciiTheme="majorHAnsi" w:eastAsia="Garamond" w:hAnsiTheme="majorHAnsi" w:cstheme="majorHAnsi"/>
        </w:rPr>
        <w:t>L’appalto ha per oggetto la gestione del</w:t>
      </w:r>
      <w:r w:rsidRPr="006477F3">
        <w:rPr>
          <w:rFonts w:asciiTheme="majorHAnsi" w:hAnsiTheme="majorHAnsi" w:cstheme="majorHAnsi"/>
        </w:rPr>
        <w:t xml:space="preserve"> servizio Nido d'Infanzia “Quattrocase” entro i locali della struttura di proprietà della Società Azienda Farmaceutica Municipale S.r.l., sita in via Gioberti n.1 in frazione Quattrocase, Casalmaggiore (CR). </w:t>
      </w:r>
    </w:p>
    <w:p w14:paraId="5F74D546" w14:textId="77777777" w:rsidR="00191C5C" w:rsidRPr="006477F3" w:rsidRDefault="00191C5C" w:rsidP="00DB09C5">
      <w:pPr>
        <w:pStyle w:val="Default"/>
        <w:spacing w:line="276" w:lineRule="auto"/>
        <w:jc w:val="both"/>
        <w:rPr>
          <w:rFonts w:asciiTheme="majorHAnsi" w:hAnsiTheme="majorHAnsi" w:cstheme="majorHAnsi"/>
        </w:rPr>
      </w:pPr>
    </w:p>
    <w:p w14:paraId="403D348E" w14:textId="6CB69BF0" w:rsidR="00774B26" w:rsidRPr="006477F3" w:rsidRDefault="00774B26" w:rsidP="00BB7ADC">
      <w:pPr>
        <w:pStyle w:val="Default"/>
        <w:spacing w:line="276" w:lineRule="auto"/>
        <w:jc w:val="both"/>
        <w:rPr>
          <w:rFonts w:asciiTheme="majorHAnsi" w:hAnsiTheme="majorHAnsi" w:cstheme="majorHAnsi"/>
        </w:rPr>
      </w:pPr>
      <w:r w:rsidRPr="006477F3">
        <w:rPr>
          <w:rFonts w:asciiTheme="majorHAnsi" w:hAnsiTheme="majorHAnsi" w:cstheme="majorHAnsi"/>
        </w:rPr>
        <w:t xml:space="preserve">Il Nido d’Infanzia è </w:t>
      </w:r>
      <w:r w:rsidR="00191C5C" w:rsidRPr="006477F3">
        <w:rPr>
          <w:rFonts w:asciiTheme="majorHAnsi" w:hAnsiTheme="majorHAnsi" w:cstheme="majorHAnsi"/>
        </w:rPr>
        <w:t>autorizzato</w:t>
      </w:r>
      <w:r w:rsidRPr="006477F3">
        <w:rPr>
          <w:rFonts w:asciiTheme="majorHAnsi" w:hAnsiTheme="majorHAnsi" w:cstheme="majorHAnsi"/>
        </w:rPr>
        <w:t xml:space="preserve"> ad accogliere</w:t>
      </w:r>
      <w:r w:rsidR="00191C5C" w:rsidRPr="006477F3">
        <w:rPr>
          <w:rFonts w:asciiTheme="majorHAnsi" w:hAnsiTheme="majorHAnsi" w:cstheme="majorHAnsi"/>
        </w:rPr>
        <w:t>, fatte salve eventuali autorizzazioni di ampliamento di posti da parte della competente Commissione,</w:t>
      </w:r>
      <w:r w:rsidRPr="006477F3">
        <w:rPr>
          <w:rFonts w:asciiTheme="majorHAnsi" w:hAnsiTheme="majorHAnsi" w:cstheme="majorHAnsi"/>
        </w:rPr>
        <w:t xml:space="preserve"> </w:t>
      </w:r>
      <w:r w:rsidR="00191C5C" w:rsidRPr="006477F3">
        <w:rPr>
          <w:rFonts w:asciiTheme="majorHAnsi" w:hAnsiTheme="majorHAnsi" w:cstheme="majorHAnsi"/>
        </w:rPr>
        <w:t>32</w:t>
      </w:r>
      <w:r w:rsidRPr="006477F3">
        <w:rPr>
          <w:rFonts w:asciiTheme="majorHAnsi" w:hAnsiTheme="majorHAnsi" w:cstheme="majorHAnsi"/>
        </w:rPr>
        <w:t xml:space="preserve"> bambini in età compresa tra i 3 e i 36 mesi</w:t>
      </w:r>
      <w:r w:rsidR="0048532C">
        <w:rPr>
          <w:rFonts w:asciiTheme="majorHAnsi" w:hAnsiTheme="majorHAnsi" w:cstheme="majorHAnsi"/>
        </w:rPr>
        <w:t xml:space="preserve">, </w:t>
      </w:r>
      <w:bookmarkStart w:id="1" w:name="_Hlk202517381"/>
      <w:r w:rsidR="0048532C">
        <w:rPr>
          <w:rFonts w:asciiTheme="majorHAnsi" w:hAnsiTheme="majorHAnsi" w:cstheme="majorHAnsi"/>
        </w:rPr>
        <w:t>con una capienza massima comunque di 38 posti</w:t>
      </w:r>
      <w:bookmarkEnd w:id="1"/>
      <w:r w:rsidRPr="006477F3">
        <w:rPr>
          <w:rFonts w:asciiTheme="majorHAnsi" w:hAnsiTheme="majorHAnsi" w:cstheme="majorHAnsi"/>
        </w:rPr>
        <w:t xml:space="preserve">: 21 posti andranno riservati ai bambini residenti nel comune di Casalmaggiore e frazione e i posti residui rimarranno nella disponibilità </w:t>
      </w:r>
      <w:r w:rsidR="00191C5C" w:rsidRPr="006477F3">
        <w:rPr>
          <w:rFonts w:asciiTheme="majorHAnsi" w:hAnsiTheme="majorHAnsi" w:cstheme="majorHAnsi"/>
        </w:rPr>
        <w:t>dell’appaltatore</w:t>
      </w:r>
      <w:r w:rsidRPr="006477F3">
        <w:rPr>
          <w:rFonts w:asciiTheme="majorHAnsi" w:hAnsiTheme="majorHAnsi" w:cstheme="majorHAnsi"/>
        </w:rPr>
        <w:t xml:space="preserve"> per l’ammissione ai non residenti.</w:t>
      </w:r>
      <w:r w:rsidR="00BB024E">
        <w:rPr>
          <w:rFonts w:asciiTheme="majorHAnsi" w:hAnsiTheme="majorHAnsi" w:cstheme="majorHAnsi"/>
        </w:rPr>
        <w:t xml:space="preserve"> </w:t>
      </w:r>
      <w:r w:rsidR="00BB7ADC" w:rsidRPr="006477F3">
        <w:rPr>
          <w:rFonts w:asciiTheme="majorHAnsi" w:hAnsiTheme="majorHAnsi" w:cstheme="majorHAnsi"/>
        </w:rPr>
        <w:t>Si precisa che per l’anno scolastico 2025/26, sono state raccolte al momento 36 iscrizioni al servizio nido.</w:t>
      </w:r>
    </w:p>
    <w:p w14:paraId="08E25BF5" w14:textId="77777777" w:rsidR="00191C5C" w:rsidRPr="006477F3" w:rsidRDefault="00191C5C" w:rsidP="00DB09C5">
      <w:pPr>
        <w:pStyle w:val="Default"/>
        <w:spacing w:line="276" w:lineRule="auto"/>
        <w:jc w:val="both"/>
        <w:rPr>
          <w:rFonts w:asciiTheme="majorHAnsi" w:hAnsiTheme="majorHAnsi" w:cstheme="majorHAnsi"/>
        </w:rPr>
      </w:pPr>
    </w:p>
    <w:p w14:paraId="0716102E" w14:textId="3E8658E3" w:rsidR="00774B26" w:rsidRPr="006477F3" w:rsidRDefault="00191C5C" w:rsidP="00DB09C5">
      <w:pPr>
        <w:pStyle w:val="Default"/>
        <w:spacing w:line="276" w:lineRule="auto"/>
        <w:jc w:val="both"/>
        <w:rPr>
          <w:rFonts w:asciiTheme="majorHAnsi" w:hAnsiTheme="majorHAnsi" w:cstheme="majorHAnsi"/>
        </w:rPr>
      </w:pPr>
      <w:r w:rsidRPr="006477F3">
        <w:rPr>
          <w:rFonts w:asciiTheme="majorHAnsi" w:hAnsiTheme="majorHAnsi" w:cstheme="majorHAnsi"/>
        </w:rPr>
        <w:t>L’affidamento</w:t>
      </w:r>
      <w:r w:rsidR="00774B26" w:rsidRPr="006477F3">
        <w:rPr>
          <w:rFonts w:asciiTheme="majorHAnsi" w:hAnsiTheme="majorHAnsi" w:cstheme="majorHAnsi"/>
        </w:rPr>
        <w:t xml:space="preserve"> comprende la gestione del servizio educativo, la cura e l’igiene personale del bambino, la fornitura di generi alimentari e la conseguente preparazione, distribuzione e assistenza ai pasti (comprese le merende), la manutenzione dell’immobile e delle aree di pertinenza (area verde esterna), il servizio di igiene e pulizia dei locali e delle attrezzature.</w:t>
      </w:r>
    </w:p>
    <w:p w14:paraId="747775BF" w14:textId="77777777" w:rsidR="00774B26" w:rsidRPr="006477F3" w:rsidRDefault="00774B26" w:rsidP="00DB09C5">
      <w:pPr>
        <w:tabs>
          <w:tab w:val="left" w:pos="284"/>
        </w:tabs>
        <w:autoSpaceDE w:val="0"/>
        <w:spacing w:line="276" w:lineRule="auto"/>
        <w:jc w:val="both"/>
        <w:rPr>
          <w:rFonts w:asciiTheme="majorHAnsi" w:hAnsiTheme="majorHAnsi" w:cstheme="majorHAnsi"/>
        </w:rPr>
      </w:pPr>
      <w:r w:rsidRPr="006477F3">
        <w:rPr>
          <w:rFonts w:asciiTheme="majorHAnsi" w:hAnsiTheme="majorHAnsi" w:cstheme="majorHAnsi"/>
        </w:rPr>
        <w:t>Il quadro prestazionale minimo è la gestione delle attività qui di seguito illustrate:</w:t>
      </w:r>
    </w:p>
    <w:p w14:paraId="25ED13B4" w14:textId="77777777" w:rsidR="00774B26" w:rsidRPr="006477F3" w:rsidRDefault="00774B26" w:rsidP="00AC7153">
      <w:pPr>
        <w:numPr>
          <w:ilvl w:val="0"/>
          <w:numId w:val="1"/>
        </w:numPr>
        <w:tabs>
          <w:tab w:val="left" w:pos="284"/>
        </w:tabs>
        <w:suppressAutoHyphens/>
        <w:autoSpaceDE w:val="0"/>
        <w:spacing w:line="276" w:lineRule="auto"/>
        <w:ind w:left="284" w:hanging="284"/>
        <w:jc w:val="both"/>
        <w:rPr>
          <w:rFonts w:asciiTheme="majorHAnsi" w:hAnsiTheme="majorHAnsi" w:cstheme="majorHAnsi"/>
        </w:rPr>
      </w:pPr>
      <w:r w:rsidRPr="006477F3">
        <w:rPr>
          <w:rFonts w:asciiTheme="majorHAnsi" w:hAnsiTheme="majorHAnsi" w:cstheme="majorHAnsi"/>
        </w:rPr>
        <w:t>ATTIVITÀ’ EDUCATIVA e LUDICA;</w:t>
      </w:r>
    </w:p>
    <w:p w14:paraId="1319A8D9" w14:textId="77777777" w:rsidR="00774B26" w:rsidRPr="006477F3" w:rsidRDefault="00774B26" w:rsidP="00AC7153">
      <w:pPr>
        <w:numPr>
          <w:ilvl w:val="0"/>
          <w:numId w:val="1"/>
        </w:numPr>
        <w:tabs>
          <w:tab w:val="left" w:pos="284"/>
        </w:tabs>
        <w:suppressAutoHyphens/>
        <w:autoSpaceDE w:val="0"/>
        <w:spacing w:line="276" w:lineRule="auto"/>
        <w:ind w:left="284" w:hanging="284"/>
        <w:jc w:val="both"/>
        <w:rPr>
          <w:rFonts w:asciiTheme="majorHAnsi" w:hAnsiTheme="majorHAnsi" w:cstheme="majorHAnsi"/>
        </w:rPr>
      </w:pPr>
      <w:r w:rsidRPr="006477F3">
        <w:rPr>
          <w:rFonts w:asciiTheme="majorHAnsi" w:hAnsiTheme="majorHAnsi" w:cstheme="majorHAnsi"/>
        </w:rPr>
        <w:t>CURA e IGIENE DEL BAMBINO con fornitura dei relativi materiali nel rispetto dei CAM;</w:t>
      </w:r>
    </w:p>
    <w:p w14:paraId="5A6F591C" w14:textId="77777777" w:rsidR="00774B26" w:rsidRPr="006477F3" w:rsidRDefault="00774B26" w:rsidP="00AC7153">
      <w:pPr>
        <w:numPr>
          <w:ilvl w:val="0"/>
          <w:numId w:val="1"/>
        </w:numPr>
        <w:tabs>
          <w:tab w:val="left" w:pos="284"/>
        </w:tabs>
        <w:suppressAutoHyphens/>
        <w:autoSpaceDE w:val="0"/>
        <w:spacing w:line="276" w:lineRule="auto"/>
        <w:ind w:left="284" w:hanging="284"/>
        <w:jc w:val="both"/>
        <w:rPr>
          <w:rFonts w:asciiTheme="majorHAnsi" w:hAnsiTheme="majorHAnsi" w:cstheme="majorHAnsi"/>
        </w:rPr>
      </w:pPr>
      <w:r w:rsidRPr="006477F3">
        <w:rPr>
          <w:rFonts w:asciiTheme="majorHAnsi" w:hAnsiTheme="majorHAnsi" w:cstheme="majorHAnsi"/>
        </w:rPr>
        <w:t>SERVIZI AUSILIARI di PREPARAZIONE E SOMMINISTRAZIONE PASTI e CURA e IGIENE DEI LOCALI nel rispetto dei rispettivi CAM;</w:t>
      </w:r>
    </w:p>
    <w:p w14:paraId="7CBA5D90" w14:textId="77777777" w:rsidR="00774B26" w:rsidRPr="006477F3" w:rsidRDefault="00774B26" w:rsidP="00AC7153">
      <w:pPr>
        <w:numPr>
          <w:ilvl w:val="0"/>
          <w:numId w:val="1"/>
        </w:numPr>
        <w:tabs>
          <w:tab w:val="left" w:pos="284"/>
        </w:tabs>
        <w:suppressAutoHyphens/>
        <w:autoSpaceDE w:val="0"/>
        <w:spacing w:line="276" w:lineRule="auto"/>
        <w:ind w:left="284" w:hanging="284"/>
        <w:jc w:val="both"/>
        <w:rPr>
          <w:rFonts w:asciiTheme="majorHAnsi" w:hAnsiTheme="majorHAnsi" w:cstheme="majorHAnsi"/>
        </w:rPr>
      </w:pPr>
      <w:r w:rsidRPr="006477F3">
        <w:rPr>
          <w:rFonts w:asciiTheme="majorHAnsi" w:hAnsiTheme="majorHAnsi" w:cstheme="majorHAnsi"/>
        </w:rPr>
        <w:t>FORNITURE di presidi igienico -sanitari, di materiale didattico e ludico, di consumo e cancelleria;</w:t>
      </w:r>
    </w:p>
    <w:p w14:paraId="4F3B2188" w14:textId="7A231009" w:rsidR="00BB7ADC" w:rsidRPr="006477F3" w:rsidRDefault="00774B26" w:rsidP="00AC7153">
      <w:pPr>
        <w:numPr>
          <w:ilvl w:val="0"/>
          <w:numId w:val="1"/>
        </w:numPr>
        <w:tabs>
          <w:tab w:val="left" w:pos="284"/>
        </w:tabs>
        <w:suppressAutoHyphens/>
        <w:autoSpaceDE w:val="0"/>
        <w:spacing w:line="276" w:lineRule="auto"/>
        <w:ind w:left="284" w:hanging="284"/>
        <w:jc w:val="both"/>
        <w:rPr>
          <w:rFonts w:asciiTheme="majorHAnsi" w:hAnsiTheme="majorHAnsi" w:cstheme="majorHAnsi"/>
        </w:rPr>
      </w:pPr>
      <w:r w:rsidRPr="006477F3">
        <w:rPr>
          <w:rFonts w:asciiTheme="majorHAnsi" w:hAnsiTheme="majorHAnsi" w:cstheme="majorHAnsi"/>
        </w:rPr>
        <w:t xml:space="preserve">MANUTENZIONE ORDINARIA </w:t>
      </w:r>
      <w:r w:rsidR="00BB7ADC" w:rsidRPr="006477F3">
        <w:rPr>
          <w:rFonts w:asciiTheme="majorHAnsi" w:hAnsiTheme="majorHAnsi" w:cstheme="majorHAnsi"/>
        </w:rPr>
        <w:t>della struttura (</w:t>
      </w:r>
      <w:r w:rsidR="00BB7ADC" w:rsidRPr="0048532C">
        <w:rPr>
          <w:rFonts w:asciiTheme="majorHAnsi" w:hAnsiTheme="majorHAnsi" w:cstheme="majorHAnsi"/>
        </w:rPr>
        <w:t>come da planimetria allegata)</w:t>
      </w:r>
      <w:r w:rsidR="00BB7ADC" w:rsidRPr="006477F3">
        <w:rPr>
          <w:rFonts w:asciiTheme="majorHAnsi" w:hAnsiTheme="majorHAnsi" w:cstheme="majorHAnsi"/>
        </w:rPr>
        <w:t>, ovvero degli impianti (luce, acqua, gas, sanitari, illuminazione, antincendio), macchinari (manutenzione e revisione della caldaia, pompa di calore per condizionamento e raffreddamento) del bene immobile (comprese le serrature, chiavi, infissi, rivestimenti, tinteggiatura periodica dei muri e dei soffitti) e dei beni mobili, ovvero le riparazioni di piccola manutenzione e dell'area verde esterna</w:t>
      </w:r>
      <w:r w:rsidR="0048532C">
        <w:rPr>
          <w:rFonts w:asciiTheme="majorHAnsi" w:hAnsiTheme="majorHAnsi" w:cstheme="majorHAnsi"/>
        </w:rPr>
        <w:t>,</w:t>
      </w:r>
      <w:r w:rsidR="00BB7ADC" w:rsidRPr="006477F3">
        <w:rPr>
          <w:rFonts w:asciiTheme="majorHAnsi" w:hAnsiTheme="majorHAnsi" w:cstheme="majorHAnsi"/>
        </w:rPr>
        <w:t xml:space="preserve"> comprensiva di un numero sufficiente di tagli dell'erba e potatura delle piante;</w:t>
      </w:r>
    </w:p>
    <w:p w14:paraId="7345B7B8" w14:textId="2B4C0A9D" w:rsidR="00BB7ADC" w:rsidRPr="006477F3" w:rsidRDefault="00BB7ADC" w:rsidP="00AC7153">
      <w:pPr>
        <w:numPr>
          <w:ilvl w:val="0"/>
          <w:numId w:val="1"/>
        </w:numPr>
        <w:tabs>
          <w:tab w:val="left" w:pos="284"/>
        </w:tabs>
        <w:suppressAutoHyphens/>
        <w:autoSpaceDE w:val="0"/>
        <w:spacing w:line="276" w:lineRule="auto"/>
        <w:ind w:left="284" w:hanging="284"/>
        <w:jc w:val="both"/>
        <w:rPr>
          <w:rFonts w:asciiTheme="majorHAnsi" w:hAnsiTheme="majorHAnsi" w:cstheme="majorHAnsi"/>
        </w:rPr>
      </w:pPr>
      <w:r w:rsidRPr="006477F3">
        <w:rPr>
          <w:rFonts w:asciiTheme="majorHAnsi" w:hAnsiTheme="majorHAnsi" w:cstheme="majorHAnsi"/>
        </w:rPr>
        <w:t>MIGLIORIE E ADDIZIONI: le migliorie e le addizioni eseguite dall’Appaltatore, anche con il consento scritto dell’Appaltante, resteranno a favore di quest’ultimo, con esonero di qualsivoglia compenso e rivalsa con obbligo di ripristinare i locali nelle medesime condizioni in cui vengono consegnati;</w:t>
      </w:r>
    </w:p>
    <w:p w14:paraId="14A447B7" w14:textId="32DBCAAB" w:rsidR="00774B26" w:rsidRPr="006477F3" w:rsidRDefault="00BB7ADC" w:rsidP="00AC7153">
      <w:pPr>
        <w:numPr>
          <w:ilvl w:val="0"/>
          <w:numId w:val="1"/>
        </w:numPr>
        <w:tabs>
          <w:tab w:val="left" w:pos="284"/>
        </w:tabs>
        <w:suppressAutoHyphens/>
        <w:autoSpaceDE w:val="0"/>
        <w:spacing w:line="276" w:lineRule="auto"/>
        <w:ind w:left="284" w:hanging="284"/>
        <w:jc w:val="both"/>
        <w:rPr>
          <w:rFonts w:asciiTheme="majorHAnsi" w:hAnsiTheme="majorHAnsi" w:cstheme="majorHAnsi"/>
        </w:rPr>
      </w:pPr>
      <w:r w:rsidRPr="006477F3">
        <w:rPr>
          <w:rFonts w:asciiTheme="majorHAnsi" w:hAnsiTheme="majorHAnsi" w:cstheme="majorHAnsi"/>
        </w:rPr>
        <w:t>PAGAMENTO TARI – TASSA RIFIUTI è a carico dell’Appaltatore; consumo medio triennale 750 euro;</w:t>
      </w:r>
    </w:p>
    <w:p w14:paraId="7D5FE841" w14:textId="0C36CD10" w:rsidR="00774B26" w:rsidRPr="006477F3" w:rsidRDefault="00774B26" w:rsidP="00AC7153">
      <w:pPr>
        <w:numPr>
          <w:ilvl w:val="0"/>
          <w:numId w:val="1"/>
        </w:numPr>
        <w:tabs>
          <w:tab w:val="left" w:pos="284"/>
        </w:tabs>
        <w:suppressAutoHyphens/>
        <w:autoSpaceDE w:val="0"/>
        <w:spacing w:line="276" w:lineRule="auto"/>
        <w:ind w:left="284" w:hanging="284"/>
        <w:jc w:val="both"/>
        <w:rPr>
          <w:rFonts w:asciiTheme="majorHAnsi" w:hAnsiTheme="majorHAnsi" w:cstheme="majorHAnsi"/>
        </w:rPr>
      </w:pPr>
      <w:r w:rsidRPr="006477F3">
        <w:rPr>
          <w:rFonts w:asciiTheme="majorHAnsi" w:hAnsiTheme="majorHAnsi" w:cstheme="majorHAnsi"/>
        </w:rPr>
        <w:t>GESTIONE AMMINISTRATIVA in ordine alla promozione del servizio, alle iscrizioni, formulazione e gestione delle graduatorie, elaborazione e riscossione delle rette mensili da applicare agli utenti sulla base del Regolamento dell'asilo nido, gestione e presa in carico di eventuali situazioni di morosità con connesso recupero coattivo delle somme</w:t>
      </w:r>
      <w:r w:rsidR="00191C5C" w:rsidRPr="006477F3">
        <w:rPr>
          <w:rFonts w:asciiTheme="majorHAnsi" w:hAnsiTheme="majorHAnsi" w:cstheme="majorHAnsi"/>
        </w:rPr>
        <w:t>.</w:t>
      </w:r>
    </w:p>
    <w:p w14:paraId="2A7F0453" w14:textId="608B6A73" w:rsidR="00774B26" w:rsidRPr="006477F3" w:rsidRDefault="00EF4D3F" w:rsidP="00DB09C5">
      <w:pPr>
        <w:tabs>
          <w:tab w:val="left" w:pos="284"/>
        </w:tabs>
        <w:autoSpaceDE w:val="0"/>
        <w:spacing w:line="276" w:lineRule="auto"/>
        <w:jc w:val="both"/>
        <w:rPr>
          <w:rFonts w:asciiTheme="majorHAnsi" w:hAnsiTheme="majorHAnsi" w:cstheme="majorHAnsi"/>
        </w:rPr>
      </w:pPr>
      <w:r w:rsidRPr="00EF4D3F">
        <w:rPr>
          <w:rFonts w:asciiTheme="majorHAnsi" w:eastAsia="Garamond" w:hAnsiTheme="majorHAnsi" w:cstheme="majorHAnsi"/>
          <w:b/>
          <w:bCs/>
          <w:color w:val="000000"/>
        </w:rPr>
        <w:lastRenderedPageBreak/>
        <w:t>3.</w:t>
      </w:r>
      <w:r>
        <w:rPr>
          <w:rFonts w:asciiTheme="majorHAnsi" w:eastAsia="Garamond" w:hAnsiTheme="majorHAnsi" w:cstheme="majorHAnsi"/>
          <w:b/>
          <w:bCs/>
          <w:color w:val="000000"/>
        </w:rPr>
        <w:t>1</w:t>
      </w:r>
      <w:r w:rsidRPr="00EF4D3F">
        <w:rPr>
          <w:rFonts w:asciiTheme="majorHAnsi" w:eastAsia="Garamond" w:hAnsiTheme="majorHAnsi" w:cstheme="majorHAnsi"/>
          <w:b/>
          <w:bCs/>
          <w:color w:val="000000"/>
        </w:rPr>
        <w:t xml:space="preserve"> </w:t>
      </w:r>
      <w:r>
        <w:rPr>
          <w:rFonts w:asciiTheme="majorHAnsi" w:eastAsia="Garamond" w:hAnsiTheme="majorHAnsi" w:cstheme="majorHAnsi"/>
          <w:b/>
          <w:bCs/>
          <w:color w:val="000000"/>
        </w:rPr>
        <w:t>DURATA</w:t>
      </w:r>
      <w:r w:rsidRPr="00EF4D3F">
        <w:rPr>
          <w:rFonts w:asciiTheme="majorHAnsi" w:eastAsia="Garamond" w:hAnsiTheme="majorHAnsi" w:cstheme="majorHAnsi"/>
          <w:b/>
          <w:bCs/>
          <w:color w:val="000000"/>
        </w:rPr>
        <w:t>:</w:t>
      </w:r>
    </w:p>
    <w:p w14:paraId="523A3E37" w14:textId="4CCCF289" w:rsidR="00774B26" w:rsidRPr="006477F3" w:rsidRDefault="00774B26" w:rsidP="00DB09C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 xml:space="preserve">La durata </w:t>
      </w:r>
      <w:r w:rsidR="00191C5C" w:rsidRPr="006477F3">
        <w:rPr>
          <w:rFonts w:asciiTheme="majorHAnsi" w:eastAsia="Garamond" w:hAnsiTheme="majorHAnsi" w:cstheme="majorHAnsi"/>
          <w:color w:val="000000"/>
        </w:rPr>
        <w:t>dell’appalto</w:t>
      </w:r>
      <w:r w:rsidRPr="006477F3">
        <w:rPr>
          <w:rFonts w:asciiTheme="majorHAnsi" w:eastAsia="Garamond" w:hAnsiTheme="majorHAnsi" w:cstheme="majorHAnsi"/>
          <w:color w:val="000000"/>
        </w:rPr>
        <w:t xml:space="preserve"> è </w:t>
      </w:r>
      <w:r w:rsidR="00191C5C" w:rsidRPr="006477F3">
        <w:rPr>
          <w:rFonts w:asciiTheme="majorHAnsi" w:eastAsia="Garamond" w:hAnsiTheme="majorHAnsi" w:cstheme="majorHAnsi"/>
          <w:color w:val="000000"/>
        </w:rPr>
        <w:t>prevista dal 01/10/2025 al 31/07/2028.</w:t>
      </w:r>
    </w:p>
    <w:p w14:paraId="1F719D99" w14:textId="77777777" w:rsidR="00774B26" w:rsidRPr="006477F3" w:rsidRDefault="00774B26" w:rsidP="00DB09C5">
      <w:pPr>
        <w:pBdr>
          <w:top w:val="nil"/>
          <w:left w:val="nil"/>
          <w:bottom w:val="nil"/>
          <w:right w:val="nil"/>
          <w:between w:val="nil"/>
        </w:pBdr>
        <w:spacing w:line="276" w:lineRule="auto"/>
        <w:ind w:hanging="2"/>
        <w:jc w:val="both"/>
        <w:rPr>
          <w:rFonts w:asciiTheme="majorHAnsi" w:eastAsia="Garamond" w:hAnsiTheme="majorHAnsi" w:cstheme="majorHAnsi"/>
          <w:color w:val="000000"/>
        </w:rPr>
      </w:pPr>
    </w:p>
    <w:tbl>
      <w:tblPr>
        <w:tblStyle w:val="TableNormal"/>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3968"/>
        <w:gridCol w:w="1956"/>
        <w:gridCol w:w="1446"/>
        <w:gridCol w:w="1956"/>
      </w:tblGrid>
      <w:tr w:rsidR="00191C5C" w:rsidRPr="006477F3" w14:paraId="2F54BD0A" w14:textId="77777777" w:rsidTr="00191C5C">
        <w:trPr>
          <w:trHeight w:val="1011"/>
        </w:trPr>
        <w:tc>
          <w:tcPr>
            <w:tcW w:w="394" w:type="dxa"/>
            <w:shd w:val="clear" w:color="auto" w:fill="F1F1F1"/>
          </w:tcPr>
          <w:p w14:paraId="078B1BF8" w14:textId="77777777" w:rsidR="00191C5C" w:rsidRPr="006477F3" w:rsidRDefault="00191C5C" w:rsidP="00DB09C5">
            <w:pPr>
              <w:pStyle w:val="TableParagraph"/>
              <w:spacing w:before="125" w:line="276" w:lineRule="auto"/>
              <w:ind w:left="-188"/>
              <w:rPr>
                <w:rFonts w:asciiTheme="majorHAnsi" w:hAnsiTheme="majorHAnsi" w:cstheme="majorHAnsi"/>
                <w:sz w:val="24"/>
                <w:szCs w:val="24"/>
                <w:lang w:val="it-IT"/>
              </w:rPr>
            </w:pPr>
          </w:p>
          <w:p w14:paraId="7EBC9ABC" w14:textId="77777777" w:rsidR="00191C5C" w:rsidRPr="006477F3" w:rsidRDefault="00191C5C" w:rsidP="00DB09C5">
            <w:pPr>
              <w:pStyle w:val="TableParagraph"/>
              <w:spacing w:line="276" w:lineRule="auto"/>
              <w:ind w:left="67" w:right="53"/>
              <w:jc w:val="center"/>
              <w:rPr>
                <w:rFonts w:asciiTheme="majorHAnsi" w:hAnsiTheme="majorHAnsi" w:cstheme="majorHAnsi"/>
                <w:b/>
                <w:sz w:val="24"/>
                <w:szCs w:val="24"/>
              </w:rPr>
            </w:pPr>
            <w:r w:rsidRPr="006477F3">
              <w:rPr>
                <w:rFonts w:asciiTheme="majorHAnsi" w:hAnsiTheme="majorHAnsi" w:cstheme="majorHAnsi"/>
                <w:b/>
                <w:spacing w:val="-5"/>
                <w:sz w:val="24"/>
                <w:szCs w:val="24"/>
              </w:rPr>
              <w:t>n.</w:t>
            </w:r>
          </w:p>
        </w:tc>
        <w:tc>
          <w:tcPr>
            <w:tcW w:w="3968" w:type="dxa"/>
            <w:shd w:val="clear" w:color="auto" w:fill="F1F1F1"/>
          </w:tcPr>
          <w:p w14:paraId="24890D7E" w14:textId="77777777" w:rsidR="00191C5C" w:rsidRPr="006477F3" w:rsidRDefault="00191C5C" w:rsidP="00DB09C5">
            <w:pPr>
              <w:pStyle w:val="TableParagraph"/>
              <w:spacing w:before="125" w:line="276" w:lineRule="auto"/>
              <w:ind w:left="0"/>
              <w:rPr>
                <w:rFonts w:asciiTheme="majorHAnsi" w:hAnsiTheme="majorHAnsi" w:cstheme="majorHAnsi"/>
                <w:sz w:val="24"/>
                <w:szCs w:val="24"/>
              </w:rPr>
            </w:pPr>
          </w:p>
          <w:p w14:paraId="38D76388" w14:textId="77777777" w:rsidR="00191C5C" w:rsidRPr="006477F3" w:rsidRDefault="00191C5C" w:rsidP="00DB09C5">
            <w:pPr>
              <w:pStyle w:val="TableParagraph"/>
              <w:spacing w:line="276" w:lineRule="auto"/>
              <w:ind w:left="1024"/>
              <w:rPr>
                <w:rFonts w:asciiTheme="majorHAnsi" w:hAnsiTheme="majorHAnsi" w:cstheme="majorHAnsi"/>
                <w:b/>
                <w:sz w:val="24"/>
                <w:szCs w:val="24"/>
              </w:rPr>
            </w:pPr>
            <w:r w:rsidRPr="006477F3">
              <w:rPr>
                <w:rFonts w:asciiTheme="majorHAnsi" w:hAnsiTheme="majorHAnsi" w:cstheme="majorHAnsi"/>
                <w:b/>
                <w:sz w:val="24"/>
                <w:szCs w:val="24"/>
              </w:rPr>
              <w:t>Descrizione</w:t>
            </w:r>
            <w:r w:rsidRPr="006477F3">
              <w:rPr>
                <w:rFonts w:asciiTheme="majorHAnsi" w:hAnsiTheme="majorHAnsi" w:cstheme="majorHAnsi"/>
                <w:b/>
                <w:spacing w:val="-7"/>
                <w:sz w:val="24"/>
                <w:szCs w:val="24"/>
              </w:rPr>
              <w:t xml:space="preserve"> </w:t>
            </w:r>
            <w:r w:rsidRPr="006477F3">
              <w:rPr>
                <w:rFonts w:asciiTheme="majorHAnsi" w:hAnsiTheme="majorHAnsi" w:cstheme="majorHAnsi"/>
                <w:b/>
                <w:spacing w:val="-2"/>
                <w:sz w:val="24"/>
                <w:szCs w:val="24"/>
              </w:rPr>
              <w:t>sintetica</w:t>
            </w:r>
          </w:p>
        </w:tc>
        <w:tc>
          <w:tcPr>
            <w:tcW w:w="1956" w:type="dxa"/>
            <w:shd w:val="clear" w:color="auto" w:fill="F1F1F1"/>
          </w:tcPr>
          <w:p w14:paraId="3A121A32" w14:textId="77777777" w:rsidR="00191C5C" w:rsidRPr="006477F3" w:rsidRDefault="00191C5C" w:rsidP="00DB09C5">
            <w:pPr>
              <w:pStyle w:val="TableParagraph"/>
              <w:spacing w:before="125" w:line="276" w:lineRule="auto"/>
              <w:ind w:left="0"/>
              <w:rPr>
                <w:rFonts w:asciiTheme="majorHAnsi" w:hAnsiTheme="majorHAnsi" w:cstheme="majorHAnsi"/>
                <w:sz w:val="24"/>
                <w:szCs w:val="24"/>
              </w:rPr>
            </w:pPr>
          </w:p>
          <w:p w14:paraId="6383B612" w14:textId="77777777" w:rsidR="00191C5C" w:rsidRPr="006477F3" w:rsidRDefault="00191C5C" w:rsidP="00DB09C5">
            <w:pPr>
              <w:pStyle w:val="TableParagraph"/>
              <w:spacing w:line="276" w:lineRule="auto"/>
              <w:ind w:right="1"/>
              <w:jc w:val="center"/>
              <w:rPr>
                <w:rFonts w:asciiTheme="majorHAnsi" w:hAnsiTheme="majorHAnsi" w:cstheme="majorHAnsi"/>
                <w:b/>
                <w:sz w:val="24"/>
                <w:szCs w:val="24"/>
              </w:rPr>
            </w:pPr>
            <w:r w:rsidRPr="006477F3">
              <w:rPr>
                <w:rFonts w:asciiTheme="majorHAnsi" w:hAnsiTheme="majorHAnsi" w:cstheme="majorHAnsi"/>
                <w:b/>
                <w:spacing w:val="-5"/>
                <w:sz w:val="24"/>
                <w:szCs w:val="24"/>
              </w:rPr>
              <w:t>CPV</w:t>
            </w:r>
          </w:p>
        </w:tc>
        <w:tc>
          <w:tcPr>
            <w:tcW w:w="1446" w:type="dxa"/>
            <w:shd w:val="clear" w:color="auto" w:fill="F1F1F1"/>
          </w:tcPr>
          <w:p w14:paraId="4EECBC6F" w14:textId="77777777" w:rsidR="00191C5C" w:rsidRPr="006477F3" w:rsidRDefault="00191C5C" w:rsidP="00DB09C5">
            <w:pPr>
              <w:pStyle w:val="TableParagraph"/>
              <w:spacing w:line="276" w:lineRule="auto"/>
              <w:ind w:left="169" w:right="155"/>
              <w:jc w:val="center"/>
              <w:rPr>
                <w:rFonts w:asciiTheme="majorHAnsi" w:hAnsiTheme="majorHAnsi" w:cstheme="majorHAnsi"/>
                <w:b/>
                <w:sz w:val="24"/>
                <w:szCs w:val="24"/>
              </w:rPr>
            </w:pPr>
            <w:r w:rsidRPr="006477F3">
              <w:rPr>
                <w:rFonts w:asciiTheme="majorHAnsi" w:hAnsiTheme="majorHAnsi" w:cstheme="majorHAnsi"/>
                <w:b/>
                <w:spacing w:val="-10"/>
                <w:sz w:val="24"/>
                <w:szCs w:val="24"/>
              </w:rPr>
              <w:t>P</w:t>
            </w:r>
          </w:p>
          <w:p w14:paraId="6B05DDBE" w14:textId="77777777" w:rsidR="00191C5C" w:rsidRPr="006477F3" w:rsidRDefault="00191C5C" w:rsidP="00DB09C5">
            <w:pPr>
              <w:pStyle w:val="TableParagraph"/>
              <w:spacing w:before="1" w:line="276" w:lineRule="auto"/>
              <w:ind w:left="169" w:right="155"/>
              <w:jc w:val="center"/>
              <w:rPr>
                <w:rFonts w:asciiTheme="majorHAnsi" w:hAnsiTheme="majorHAnsi" w:cstheme="majorHAnsi"/>
                <w:b/>
                <w:sz w:val="24"/>
                <w:szCs w:val="24"/>
              </w:rPr>
            </w:pPr>
            <w:r w:rsidRPr="006477F3">
              <w:rPr>
                <w:rFonts w:asciiTheme="majorHAnsi" w:hAnsiTheme="majorHAnsi" w:cstheme="majorHAnsi"/>
                <w:b/>
                <w:spacing w:val="-2"/>
                <w:sz w:val="24"/>
                <w:szCs w:val="24"/>
              </w:rPr>
              <w:t>(</w:t>
            </w:r>
            <w:r w:rsidRPr="006477F3">
              <w:rPr>
                <w:rFonts w:asciiTheme="majorHAnsi" w:hAnsiTheme="majorHAnsi" w:cstheme="majorHAnsi"/>
                <w:b/>
                <w:i/>
                <w:spacing w:val="-2"/>
                <w:sz w:val="24"/>
                <w:szCs w:val="24"/>
              </w:rPr>
              <w:t xml:space="preserve">principale) </w:t>
            </w:r>
            <w:r w:rsidRPr="006477F3">
              <w:rPr>
                <w:rFonts w:asciiTheme="majorHAnsi" w:hAnsiTheme="majorHAnsi" w:cstheme="majorHAnsi"/>
                <w:b/>
                <w:spacing w:val="-10"/>
                <w:sz w:val="24"/>
                <w:szCs w:val="24"/>
              </w:rPr>
              <w:t>S</w:t>
            </w:r>
          </w:p>
          <w:p w14:paraId="5B189FAF" w14:textId="77777777" w:rsidR="00191C5C" w:rsidRPr="006477F3" w:rsidRDefault="00191C5C" w:rsidP="00DB09C5">
            <w:pPr>
              <w:pStyle w:val="TableParagraph"/>
              <w:spacing w:line="276" w:lineRule="auto"/>
              <w:ind w:left="156"/>
              <w:rPr>
                <w:rFonts w:asciiTheme="majorHAnsi" w:hAnsiTheme="majorHAnsi" w:cstheme="majorHAnsi"/>
                <w:b/>
                <w:i/>
                <w:sz w:val="24"/>
                <w:szCs w:val="24"/>
              </w:rPr>
            </w:pPr>
            <w:r w:rsidRPr="006477F3">
              <w:rPr>
                <w:rFonts w:asciiTheme="majorHAnsi" w:hAnsiTheme="majorHAnsi" w:cstheme="majorHAnsi"/>
                <w:b/>
                <w:i/>
                <w:spacing w:val="-2"/>
                <w:sz w:val="24"/>
                <w:szCs w:val="24"/>
              </w:rPr>
              <w:t>(secondario)</w:t>
            </w:r>
          </w:p>
        </w:tc>
        <w:tc>
          <w:tcPr>
            <w:tcW w:w="1956" w:type="dxa"/>
            <w:shd w:val="clear" w:color="auto" w:fill="F1F1F1"/>
          </w:tcPr>
          <w:p w14:paraId="5AB2D883" w14:textId="77777777" w:rsidR="00191C5C" w:rsidRPr="006477F3" w:rsidRDefault="00191C5C" w:rsidP="00DB09C5">
            <w:pPr>
              <w:pStyle w:val="TableParagraph"/>
              <w:spacing w:before="125" w:line="276" w:lineRule="auto"/>
              <w:ind w:left="0"/>
              <w:rPr>
                <w:rFonts w:asciiTheme="majorHAnsi" w:hAnsiTheme="majorHAnsi" w:cstheme="majorHAnsi"/>
                <w:sz w:val="24"/>
                <w:szCs w:val="24"/>
              </w:rPr>
            </w:pPr>
          </w:p>
          <w:p w14:paraId="1A28EE90" w14:textId="77777777" w:rsidR="00191C5C" w:rsidRPr="006477F3" w:rsidRDefault="00191C5C" w:rsidP="00DB09C5">
            <w:pPr>
              <w:pStyle w:val="TableParagraph"/>
              <w:spacing w:line="276" w:lineRule="auto"/>
              <w:ind w:right="2"/>
              <w:jc w:val="center"/>
              <w:rPr>
                <w:rFonts w:asciiTheme="majorHAnsi" w:hAnsiTheme="majorHAnsi" w:cstheme="majorHAnsi"/>
                <w:b/>
                <w:sz w:val="24"/>
                <w:szCs w:val="24"/>
              </w:rPr>
            </w:pPr>
            <w:r w:rsidRPr="006477F3">
              <w:rPr>
                <w:rFonts w:asciiTheme="majorHAnsi" w:hAnsiTheme="majorHAnsi" w:cstheme="majorHAnsi"/>
                <w:b/>
                <w:spacing w:val="-2"/>
                <w:sz w:val="24"/>
                <w:szCs w:val="24"/>
              </w:rPr>
              <w:t>Importo</w:t>
            </w:r>
          </w:p>
        </w:tc>
      </w:tr>
      <w:tr w:rsidR="00191C5C" w:rsidRPr="006477F3" w14:paraId="68702F6D" w14:textId="77777777" w:rsidTr="00191C5C">
        <w:trPr>
          <w:trHeight w:val="505"/>
        </w:trPr>
        <w:tc>
          <w:tcPr>
            <w:tcW w:w="394" w:type="dxa"/>
            <w:vAlign w:val="center"/>
          </w:tcPr>
          <w:p w14:paraId="60E50159" w14:textId="77777777" w:rsidR="00191C5C" w:rsidRPr="006477F3" w:rsidRDefault="00191C5C" w:rsidP="00DB09C5">
            <w:pPr>
              <w:pStyle w:val="TableParagraph"/>
              <w:spacing w:line="276" w:lineRule="auto"/>
              <w:ind w:left="14" w:right="67"/>
              <w:jc w:val="center"/>
              <w:rPr>
                <w:rFonts w:asciiTheme="majorHAnsi" w:hAnsiTheme="majorHAnsi" w:cstheme="majorHAnsi"/>
                <w:sz w:val="24"/>
                <w:szCs w:val="24"/>
              </w:rPr>
            </w:pPr>
            <w:r w:rsidRPr="006477F3">
              <w:rPr>
                <w:rFonts w:asciiTheme="majorHAnsi" w:hAnsiTheme="majorHAnsi" w:cstheme="majorHAnsi"/>
                <w:spacing w:val="-10"/>
                <w:sz w:val="24"/>
                <w:szCs w:val="24"/>
              </w:rPr>
              <w:t>1</w:t>
            </w:r>
          </w:p>
        </w:tc>
        <w:tc>
          <w:tcPr>
            <w:tcW w:w="3968" w:type="dxa"/>
            <w:vAlign w:val="center"/>
          </w:tcPr>
          <w:p w14:paraId="4C718F91" w14:textId="2BE498AE" w:rsidR="00191C5C" w:rsidRPr="006477F3" w:rsidRDefault="00191C5C" w:rsidP="00DB09C5">
            <w:pPr>
              <w:pStyle w:val="TableParagraph"/>
              <w:spacing w:line="276" w:lineRule="auto"/>
              <w:ind w:left="110" w:right="100"/>
              <w:rPr>
                <w:rFonts w:asciiTheme="majorHAnsi" w:hAnsiTheme="majorHAnsi" w:cstheme="majorHAnsi"/>
                <w:sz w:val="24"/>
                <w:szCs w:val="24"/>
                <w:lang w:val="it-IT"/>
              </w:rPr>
            </w:pPr>
            <w:r w:rsidRPr="006477F3">
              <w:rPr>
                <w:rFonts w:asciiTheme="majorHAnsi" w:hAnsiTheme="majorHAnsi" w:cstheme="majorHAnsi"/>
                <w:sz w:val="24"/>
                <w:szCs w:val="24"/>
                <w:lang w:val="it-IT"/>
              </w:rPr>
              <w:t>Affidamento della gestione dell’asilo nido di Quattrocase</w:t>
            </w:r>
          </w:p>
        </w:tc>
        <w:tc>
          <w:tcPr>
            <w:tcW w:w="1956" w:type="dxa"/>
            <w:vAlign w:val="center"/>
          </w:tcPr>
          <w:p w14:paraId="3B9D9E85" w14:textId="77777777" w:rsidR="00191C5C" w:rsidRPr="006477F3" w:rsidRDefault="00191C5C" w:rsidP="00DB09C5">
            <w:pPr>
              <w:pStyle w:val="TableParagraph"/>
              <w:spacing w:before="114" w:line="276" w:lineRule="auto"/>
              <w:ind w:left="110"/>
              <w:rPr>
                <w:rFonts w:asciiTheme="majorHAnsi" w:hAnsiTheme="majorHAnsi" w:cstheme="majorHAnsi"/>
                <w:sz w:val="24"/>
                <w:szCs w:val="24"/>
              </w:rPr>
            </w:pPr>
            <w:r w:rsidRPr="006477F3">
              <w:rPr>
                <w:rFonts w:asciiTheme="majorHAnsi" w:hAnsiTheme="majorHAnsi" w:cstheme="majorHAnsi"/>
                <w:sz w:val="24"/>
                <w:szCs w:val="24"/>
              </w:rPr>
              <w:t>80110000-</w:t>
            </w:r>
            <w:r w:rsidRPr="006477F3">
              <w:rPr>
                <w:rFonts w:asciiTheme="majorHAnsi" w:hAnsiTheme="majorHAnsi" w:cstheme="majorHAnsi"/>
                <w:spacing w:val="-10"/>
                <w:sz w:val="24"/>
                <w:szCs w:val="24"/>
              </w:rPr>
              <w:t>8</w:t>
            </w:r>
          </w:p>
        </w:tc>
        <w:tc>
          <w:tcPr>
            <w:tcW w:w="1446" w:type="dxa"/>
            <w:vAlign w:val="center"/>
          </w:tcPr>
          <w:p w14:paraId="28D71CEC" w14:textId="77777777" w:rsidR="00191C5C" w:rsidRPr="006477F3" w:rsidRDefault="00191C5C" w:rsidP="00DB09C5">
            <w:pPr>
              <w:pStyle w:val="TableParagraph"/>
              <w:spacing w:before="124" w:line="276" w:lineRule="auto"/>
              <w:ind w:left="169" w:right="155"/>
              <w:jc w:val="center"/>
              <w:rPr>
                <w:rFonts w:asciiTheme="majorHAnsi" w:hAnsiTheme="majorHAnsi" w:cstheme="majorHAnsi"/>
                <w:sz w:val="24"/>
                <w:szCs w:val="24"/>
              </w:rPr>
            </w:pPr>
            <w:r w:rsidRPr="006477F3">
              <w:rPr>
                <w:rFonts w:asciiTheme="majorHAnsi" w:hAnsiTheme="majorHAnsi" w:cstheme="majorHAnsi"/>
                <w:spacing w:val="-10"/>
                <w:sz w:val="24"/>
                <w:szCs w:val="24"/>
              </w:rPr>
              <w:t>P</w:t>
            </w:r>
          </w:p>
        </w:tc>
        <w:tc>
          <w:tcPr>
            <w:tcW w:w="1956" w:type="dxa"/>
            <w:vAlign w:val="center"/>
          </w:tcPr>
          <w:p w14:paraId="5F7D63F2" w14:textId="1DD2B99C" w:rsidR="00191C5C" w:rsidRPr="006477F3" w:rsidRDefault="00191C5C" w:rsidP="00DB09C5">
            <w:pPr>
              <w:pStyle w:val="TableParagraph"/>
              <w:spacing w:before="124" w:line="276" w:lineRule="auto"/>
              <w:jc w:val="center"/>
              <w:rPr>
                <w:rFonts w:asciiTheme="majorHAnsi" w:hAnsiTheme="majorHAnsi" w:cstheme="majorHAnsi"/>
                <w:b/>
                <w:sz w:val="24"/>
                <w:szCs w:val="24"/>
              </w:rPr>
            </w:pPr>
            <w:r w:rsidRPr="006477F3">
              <w:rPr>
                <w:rFonts w:asciiTheme="majorHAnsi" w:hAnsiTheme="majorHAnsi" w:cstheme="majorHAnsi"/>
                <w:b/>
                <w:sz w:val="24"/>
                <w:szCs w:val="24"/>
              </w:rPr>
              <w:t xml:space="preserve">€ </w:t>
            </w:r>
            <w:r w:rsidR="001C35FE" w:rsidRPr="006477F3">
              <w:rPr>
                <w:rFonts w:asciiTheme="majorHAnsi" w:hAnsiTheme="majorHAnsi" w:cstheme="majorHAnsi"/>
                <w:b/>
                <w:spacing w:val="-2"/>
                <w:sz w:val="24"/>
                <w:szCs w:val="24"/>
              </w:rPr>
              <w:t>673.947,29</w:t>
            </w:r>
          </w:p>
        </w:tc>
      </w:tr>
      <w:tr w:rsidR="00191C5C" w:rsidRPr="006477F3" w14:paraId="2DC6F38E" w14:textId="77777777" w:rsidTr="00191C5C">
        <w:trPr>
          <w:trHeight w:val="504"/>
        </w:trPr>
        <w:tc>
          <w:tcPr>
            <w:tcW w:w="7764" w:type="dxa"/>
            <w:gridSpan w:val="4"/>
            <w:vAlign w:val="center"/>
          </w:tcPr>
          <w:p w14:paraId="32D853BF" w14:textId="77777777" w:rsidR="00191C5C" w:rsidRPr="006477F3" w:rsidRDefault="00191C5C" w:rsidP="00DB09C5">
            <w:pPr>
              <w:pStyle w:val="TableParagraph"/>
              <w:spacing w:line="276" w:lineRule="auto"/>
              <w:ind w:left="110"/>
              <w:rPr>
                <w:rFonts w:asciiTheme="majorHAnsi" w:hAnsiTheme="majorHAnsi" w:cstheme="majorHAnsi"/>
                <w:sz w:val="24"/>
                <w:szCs w:val="24"/>
                <w:lang w:val="it-IT"/>
              </w:rPr>
            </w:pPr>
            <w:r w:rsidRPr="006477F3">
              <w:rPr>
                <w:rFonts w:asciiTheme="majorHAnsi" w:hAnsiTheme="majorHAnsi" w:cstheme="majorHAnsi"/>
                <w:sz w:val="24"/>
                <w:szCs w:val="24"/>
                <w:lang w:val="it-IT"/>
              </w:rPr>
              <w:t>Oneri</w:t>
            </w:r>
            <w:r w:rsidRPr="006477F3">
              <w:rPr>
                <w:rFonts w:asciiTheme="majorHAnsi" w:hAnsiTheme="majorHAnsi" w:cstheme="majorHAnsi"/>
                <w:spacing w:val="-4"/>
                <w:sz w:val="24"/>
                <w:szCs w:val="24"/>
                <w:lang w:val="it-IT"/>
              </w:rPr>
              <w:t xml:space="preserve"> </w:t>
            </w:r>
            <w:r w:rsidRPr="006477F3">
              <w:rPr>
                <w:rFonts w:asciiTheme="majorHAnsi" w:hAnsiTheme="majorHAnsi" w:cstheme="majorHAnsi"/>
                <w:sz w:val="24"/>
                <w:szCs w:val="24"/>
                <w:lang w:val="it-IT"/>
              </w:rPr>
              <w:t>della</w:t>
            </w:r>
            <w:r w:rsidRPr="006477F3">
              <w:rPr>
                <w:rFonts w:asciiTheme="majorHAnsi" w:hAnsiTheme="majorHAnsi" w:cstheme="majorHAnsi"/>
                <w:spacing w:val="-3"/>
                <w:sz w:val="24"/>
                <w:szCs w:val="24"/>
                <w:lang w:val="it-IT"/>
              </w:rPr>
              <w:t xml:space="preserve"> </w:t>
            </w:r>
            <w:r w:rsidRPr="006477F3">
              <w:rPr>
                <w:rFonts w:asciiTheme="majorHAnsi" w:hAnsiTheme="majorHAnsi" w:cstheme="majorHAnsi"/>
                <w:sz w:val="24"/>
                <w:szCs w:val="24"/>
                <w:lang w:val="it-IT"/>
              </w:rPr>
              <w:t>sicurezza</w:t>
            </w:r>
            <w:r w:rsidRPr="006477F3">
              <w:rPr>
                <w:rFonts w:asciiTheme="majorHAnsi" w:hAnsiTheme="majorHAnsi" w:cstheme="majorHAnsi"/>
                <w:spacing w:val="-4"/>
                <w:sz w:val="24"/>
                <w:szCs w:val="24"/>
                <w:lang w:val="it-IT"/>
              </w:rPr>
              <w:t xml:space="preserve"> </w:t>
            </w:r>
            <w:r w:rsidRPr="006477F3">
              <w:rPr>
                <w:rFonts w:asciiTheme="majorHAnsi" w:hAnsiTheme="majorHAnsi" w:cstheme="majorHAnsi"/>
                <w:sz w:val="24"/>
                <w:szCs w:val="24"/>
                <w:lang w:val="it-IT"/>
              </w:rPr>
              <w:t>da</w:t>
            </w:r>
            <w:r w:rsidRPr="006477F3">
              <w:rPr>
                <w:rFonts w:asciiTheme="majorHAnsi" w:hAnsiTheme="majorHAnsi" w:cstheme="majorHAnsi"/>
                <w:spacing w:val="-2"/>
                <w:sz w:val="24"/>
                <w:szCs w:val="24"/>
                <w:lang w:val="it-IT"/>
              </w:rPr>
              <w:t xml:space="preserve"> interferenza</w:t>
            </w:r>
          </w:p>
        </w:tc>
        <w:tc>
          <w:tcPr>
            <w:tcW w:w="1956" w:type="dxa"/>
            <w:vAlign w:val="center"/>
          </w:tcPr>
          <w:p w14:paraId="3011967D" w14:textId="77777777" w:rsidR="00191C5C" w:rsidRPr="006477F3" w:rsidRDefault="00191C5C" w:rsidP="00DB09C5">
            <w:pPr>
              <w:pStyle w:val="TableParagraph"/>
              <w:spacing w:before="122" w:line="276" w:lineRule="auto"/>
              <w:ind w:right="2"/>
              <w:jc w:val="center"/>
              <w:rPr>
                <w:rFonts w:asciiTheme="majorHAnsi" w:hAnsiTheme="majorHAnsi" w:cstheme="majorHAnsi"/>
                <w:sz w:val="24"/>
                <w:szCs w:val="24"/>
              </w:rPr>
            </w:pPr>
            <w:r w:rsidRPr="006477F3">
              <w:rPr>
                <w:rFonts w:asciiTheme="majorHAnsi" w:hAnsiTheme="majorHAnsi" w:cstheme="majorHAnsi"/>
                <w:sz w:val="24"/>
                <w:szCs w:val="24"/>
              </w:rPr>
              <w:t xml:space="preserve">€ </w:t>
            </w:r>
            <w:r w:rsidRPr="006477F3">
              <w:rPr>
                <w:rFonts w:asciiTheme="majorHAnsi" w:hAnsiTheme="majorHAnsi" w:cstheme="majorHAnsi"/>
                <w:spacing w:val="-4"/>
                <w:sz w:val="24"/>
                <w:szCs w:val="24"/>
              </w:rPr>
              <w:t>0,00</w:t>
            </w:r>
          </w:p>
        </w:tc>
      </w:tr>
      <w:tr w:rsidR="00191C5C" w:rsidRPr="006477F3" w14:paraId="04DE682A" w14:textId="77777777" w:rsidTr="00191C5C">
        <w:trPr>
          <w:trHeight w:val="505"/>
        </w:trPr>
        <w:tc>
          <w:tcPr>
            <w:tcW w:w="7764" w:type="dxa"/>
            <w:gridSpan w:val="4"/>
            <w:vAlign w:val="center"/>
          </w:tcPr>
          <w:p w14:paraId="2CD5E8DD" w14:textId="77777777" w:rsidR="00191C5C" w:rsidRPr="006477F3" w:rsidRDefault="00191C5C" w:rsidP="00DB09C5">
            <w:pPr>
              <w:pStyle w:val="TableParagraph"/>
              <w:spacing w:line="276" w:lineRule="auto"/>
              <w:ind w:left="110"/>
              <w:rPr>
                <w:rFonts w:asciiTheme="majorHAnsi" w:hAnsiTheme="majorHAnsi" w:cstheme="majorHAnsi"/>
                <w:sz w:val="24"/>
                <w:szCs w:val="24"/>
              </w:rPr>
            </w:pPr>
            <w:r w:rsidRPr="006477F3">
              <w:rPr>
                <w:rFonts w:asciiTheme="majorHAnsi" w:hAnsiTheme="majorHAnsi" w:cstheme="majorHAnsi"/>
                <w:sz w:val="24"/>
                <w:szCs w:val="24"/>
              </w:rPr>
              <w:t>Valore</w:t>
            </w:r>
            <w:r w:rsidRPr="006477F3">
              <w:rPr>
                <w:rFonts w:asciiTheme="majorHAnsi" w:hAnsiTheme="majorHAnsi" w:cstheme="majorHAnsi"/>
                <w:spacing w:val="-3"/>
                <w:sz w:val="24"/>
                <w:szCs w:val="24"/>
              </w:rPr>
              <w:t xml:space="preserve"> </w:t>
            </w:r>
            <w:r w:rsidRPr="006477F3">
              <w:rPr>
                <w:rFonts w:asciiTheme="majorHAnsi" w:hAnsiTheme="majorHAnsi" w:cstheme="majorHAnsi"/>
                <w:spacing w:val="-2"/>
                <w:sz w:val="24"/>
                <w:szCs w:val="24"/>
              </w:rPr>
              <w:t>complessivo</w:t>
            </w:r>
          </w:p>
        </w:tc>
        <w:tc>
          <w:tcPr>
            <w:tcW w:w="1956" w:type="dxa"/>
            <w:vAlign w:val="center"/>
          </w:tcPr>
          <w:p w14:paraId="255339D5" w14:textId="6095BC2E" w:rsidR="00191C5C" w:rsidRPr="006477F3" w:rsidRDefault="001C35FE" w:rsidP="00DB09C5">
            <w:pPr>
              <w:pStyle w:val="TableParagraph"/>
              <w:spacing w:before="124" w:line="276" w:lineRule="auto"/>
              <w:jc w:val="center"/>
              <w:rPr>
                <w:rFonts w:asciiTheme="majorHAnsi" w:hAnsiTheme="majorHAnsi" w:cstheme="majorHAnsi"/>
                <w:b/>
                <w:sz w:val="24"/>
                <w:szCs w:val="24"/>
              </w:rPr>
            </w:pPr>
            <w:r w:rsidRPr="006477F3">
              <w:rPr>
                <w:rFonts w:asciiTheme="majorHAnsi" w:hAnsiTheme="majorHAnsi" w:cstheme="majorHAnsi"/>
                <w:b/>
                <w:sz w:val="24"/>
                <w:szCs w:val="24"/>
              </w:rPr>
              <w:t xml:space="preserve">€ </w:t>
            </w:r>
            <w:r w:rsidRPr="006477F3">
              <w:rPr>
                <w:rFonts w:asciiTheme="majorHAnsi" w:hAnsiTheme="majorHAnsi" w:cstheme="majorHAnsi"/>
                <w:b/>
                <w:spacing w:val="-2"/>
                <w:sz w:val="24"/>
                <w:szCs w:val="24"/>
              </w:rPr>
              <w:t>673.947,29</w:t>
            </w:r>
          </w:p>
        </w:tc>
      </w:tr>
    </w:tbl>
    <w:p w14:paraId="71A688C5" w14:textId="77777777" w:rsidR="00191C5C" w:rsidRPr="006477F3" w:rsidRDefault="00191C5C" w:rsidP="00DB09C5">
      <w:pPr>
        <w:pBdr>
          <w:top w:val="nil"/>
          <w:left w:val="nil"/>
          <w:bottom w:val="nil"/>
          <w:right w:val="nil"/>
          <w:between w:val="nil"/>
        </w:pBdr>
        <w:spacing w:line="276" w:lineRule="auto"/>
        <w:ind w:hanging="2"/>
        <w:jc w:val="both"/>
        <w:rPr>
          <w:rFonts w:asciiTheme="majorHAnsi" w:eastAsia="Garamond" w:hAnsiTheme="majorHAnsi" w:cstheme="majorHAnsi"/>
          <w:color w:val="000000"/>
        </w:rPr>
      </w:pPr>
    </w:p>
    <w:p w14:paraId="65248711" w14:textId="643B1D76" w:rsidR="00247ABF" w:rsidRPr="006477F3" w:rsidRDefault="00205252" w:rsidP="00247ABF">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 xml:space="preserve">Il CCNL di riferimento è </w:t>
      </w:r>
      <w:r w:rsidR="00247ABF" w:rsidRPr="006477F3">
        <w:rPr>
          <w:rFonts w:asciiTheme="majorHAnsi" w:eastAsia="Garamond" w:hAnsiTheme="majorHAnsi" w:cstheme="majorHAnsi"/>
          <w:color w:val="000000"/>
        </w:rPr>
        <w:t xml:space="preserve">ANINSEI per il personale della scuola non statale – Codice CNEL </w:t>
      </w:r>
      <w:r w:rsidR="0078461B" w:rsidRPr="006477F3">
        <w:rPr>
          <w:rFonts w:asciiTheme="majorHAnsi" w:eastAsia="Garamond" w:hAnsiTheme="majorHAnsi" w:cstheme="majorHAnsi"/>
          <w:color w:val="000000"/>
        </w:rPr>
        <w:t>T231.</w:t>
      </w:r>
      <w:r w:rsidR="001C35FE" w:rsidRPr="006477F3">
        <w:rPr>
          <w:rFonts w:asciiTheme="majorHAnsi" w:eastAsia="Garamond" w:hAnsiTheme="majorHAnsi" w:cstheme="majorHAnsi"/>
          <w:color w:val="000000"/>
        </w:rPr>
        <w:t xml:space="preserve"> L’importo della manodopera è stimato in Euro 532.197,29.</w:t>
      </w:r>
    </w:p>
    <w:p w14:paraId="2A0665B2" w14:textId="455E7609" w:rsidR="00205252" w:rsidRPr="006477F3" w:rsidRDefault="00205252" w:rsidP="00DB09C5">
      <w:pPr>
        <w:pBdr>
          <w:top w:val="nil"/>
          <w:left w:val="nil"/>
          <w:bottom w:val="nil"/>
          <w:right w:val="nil"/>
          <w:between w:val="nil"/>
        </w:pBdr>
        <w:spacing w:line="276" w:lineRule="auto"/>
        <w:ind w:hanging="2"/>
        <w:jc w:val="both"/>
        <w:rPr>
          <w:rFonts w:asciiTheme="majorHAnsi" w:eastAsia="Garamond" w:hAnsiTheme="majorHAnsi" w:cstheme="majorHAnsi"/>
          <w:color w:val="000000"/>
        </w:rPr>
      </w:pPr>
    </w:p>
    <w:p w14:paraId="734AEF29" w14:textId="0BE9E794" w:rsidR="0078461B" w:rsidRDefault="0078461B" w:rsidP="00DB09C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 xml:space="preserve">Il contratto verrà contabilizzato </w:t>
      </w:r>
      <w:r w:rsidR="0048532C">
        <w:rPr>
          <w:rFonts w:asciiTheme="majorHAnsi" w:eastAsia="Garamond" w:hAnsiTheme="majorHAnsi" w:cstheme="majorHAnsi"/>
          <w:color w:val="000000"/>
        </w:rPr>
        <w:t xml:space="preserve">in parte a corpo e in parte </w:t>
      </w:r>
      <w:r w:rsidRPr="006477F3">
        <w:rPr>
          <w:rFonts w:asciiTheme="majorHAnsi" w:eastAsia="Garamond" w:hAnsiTheme="majorHAnsi" w:cstheme="majorHAnsi"/>
          <w:color w:val="000000"/>
        </w:rPr>
        <w:t>a misura</w:t>
      </w:r>
      <w:r w:rsidR="0048532C">
        <w:rPr>
          <w:rFonts w:asciiTheme="majorHAnsi" w:eastAsia="Garamond" w:hAnsiTheme="majorHAnsi" w:cstheme="majorHAnsi"/>
          <w:color w:val="000000"/>
        </w:rPr>
        <w:t>, come dettagliato nel capitolato speciale d’appalto</w:t>
      </w:r>
      <w:r w:rsidRPr="006477F3">
        <w:rPr>
          <w:rFonts w:asciiTheme="majorHAnsi" w:eastAsia="Garamond" w:hAnsiTheme="majorHAnsi" w:cstheme="majorHAnsi"/>
          <w:color w:val="000000"/>
        </w:rPr>
        <w:t>.</w:t>
      </w:r>
    </w:p>
    <w:p w14:paraId="01214D35" w14:textId="77777777" w:rsidR="00605C66" w:rsidRDefault="00605C66" w:rsidP="00DB09C5">
      <w:pPr>
        <w:pBdr>
          <w:top w:val="nil"/>
          <w:left w:val="nil"/>
          <w:bottom w:val="nil"/>
          <w:right w:val="nil"/>
          <w:between w:val="nil"/>
        </w:pBdr>
        <w:spacing w:line="276" w:lineRule="auto"/>
        <w:ind w:hanging="2"/>
        <w:jc w:val="both"/>
        <w:rPr>
          <w:rFonts w:asciiTheme="majorHAnsi" w:eastAsia="Garamond" w:hAnsiTheme="majorHAnsi" w:cstheme="majorHAnsi"/>
          <w:color w:val="000000"/>
        </w:rPr>
      </w:pPr>
    </w:p>
    <w:p w14:paraId="20E3E048" w14:textId="1F2B3E5A" w:rsidR="00EF4D3F" w:rsidRPr="00EF4D3F" w:rsidRDefault="00EF4D3F" w:rsidP="00DB09C5">
      <w:pPr>
        <w:pBdr>
          <w:top w:val="nil"/>
          <w:left w:val="nil"/>
          <w:bottom w:val="nil"/>
          <w:right w:val="nil"/>
          <w:between w:val="nil"/>
        </w:pBdr>
        <w:spacing w:line="276" w:lineRule="auto"/>
        <w:ind w:hanging="2"/>
        <w:jc w:val="both"/>
        <w:rPr>
          <w:rFonts w:asciiTheme="majorHAnsi" w:eastAsia="Garamond" w:hAnsiTheme="majorHAnsi" w:cstheme="majorHAnsi"/>
          <w:b/>
          <w:bCs/>
          <w:color w:val="000000"/>
        </w:rPr>
      </w:pPr>
      <w:r w:rsidRPr="00EF4D3F">
        <w:rPr>
          <w:rFonts w:asciiTheme="majorHAnsi" w:eastAsia="Garamond" w:hAnsiTheme="majorHAnsi" w:cstheme="majorHAnsi"/>
          <w:b/>
          <w:bCs/>
          <w:color w:val="000000"/>
        </w:rPr>
        <w:t>3.2 REVISIONE PREZZI:</w:t>
      </w:r>
    </w:p>
    <w:p w14:paraId="0075F062" w14:textId="570923FA" w:rsidR="00EF4D3F" w:rsidRDefault="00EF4D3F" w:rsidP="00DB09C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Pr>
          <w:rFonts w:asciiTheme="majorHAnsi" w:eastAsia="Garamond" w:hAnsiTheme="majorHAnsi" w:cstheme="majorHAnsi"/>
          <w:color w:val="000000"/>
        </w:rPr>
        <w:t>Si rimanda al capitolato speciale d’appalto, art. 6.</w:t>
      </w:r>
    </w:p>
    <w:p w14:paraId="229412D7" w14:textId="77777777" w:rsidR="00EF4D3F" w:rsidRDefault="00EF4D3F" w:rsidP="00DB09C5">
      <w:pPr>
        <w:pBdr>
          <w:top w:val="nil"/>
          <w:left w:val="nil"/>
          <w:bottom w:val="nil"/>
          <w:right w:val="nil"/>
          <w:between w:val="nil"/>
        </w:pBdr>
        <w:spacing w:line="276" w:lineRule="auto"/>
        <w:ind w:hanging="2"/>
        <w:jc w:val="both"/>
        <w:rPr>
          <w:rFonts w:asciiTheme="majorHAnsi" w:eastAsia="Garamond" w:hAnsiTheme="majorHAnsi" w:cstheme="majorHAnsi"/>
          <w:color w:val="000000"/>
        </w:rPr>
      </w:pPr>
    </w:p>
    <w:p w14:paraId="68E825E1" w14:textId="4F357739"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b/>
          <w:bCs/>
          <w:color w:val="000000"/>
        </w:rPr>
      </w:pPr>
      <w:r w:rsidRPr="006477F3">
        <w:rPr>
          <w:rFonts w:asciiTheme="majorHAnsi" w:eastAsia="Garamond" w:hAnsiTheme="majorHAnsi" w:cstheme="majorHAnsi"/>
          <w:b/>
          <w:bCs/>
          <w:color w:val="000000"/>
        </w:rPr>
        <w:t>4.</w:t>
      </w:r>
      <w:r w:rsidRPr="006477F3">
        <w:rPr>
          <w:rFonts w:asciiTheme="majorHAnsi" w:eastAsia="Garamond" w:hAnsiTheme="majorHAnsi" w:cstheme="majorHAnsi"/>
          <w:b/>
          <w:bCs/>
          <w:color w:val="000000"/>
        </w:rPr>
        <w:tab/>
        <w:t>SOGGETTI AMMESSI IN FORMA SINGOLA E ASSOCIATA E CONDIZIONI DI PARTECIPAZIONE</w:t>
      </w:r>
    </w:p>
    <w:p w14:paraId="5E808F1B" w14:textId="305B061E" w:rsidR="00605C66" w:rsidRDefault="00605C66"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Pr>
          <w:rFonts w:asciiTheme="majorHAnsi" w:eastAsia="Garamond" w:hAnsiTheme="majorHAnsi" w:cstheme="majorHAnsi"/>
          <w:color w:val="000000"/>
        </w:rPr>
        <w:t>Sono ammessi a partecipare gli operatori economici invitati a seguito di manifestazione di interesse.</w:t>
      </w:r>
    </w:p>
    <w:p w14:paraId="406B22BC" w14:textId="77777777" w:rsidR="00605C66" w:rsidRDefault="00605C66"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p>
    <w:p w14:paraId="2D0219BB" w14:textId="04FEDCD9"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Gli operatori economici possono partecipare alla presente procedura in forma singola o associata, purché in possesso dei requisiti prescritti dai successivi paragrafi.</w:t>
      </w:r>
    </w:p>
    <w:p w14:paraId="44A1F17A"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Ai soggetti costituiti in forma associata si applicano le disposizioni di cui agli articoli 67 e 68 del Codice.</w:t>
      </w:r>
    </w:p>
    <w:p w14:paraId="13B9A74B"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u w:val="single"/>
        </w:rPr>
        <w:t>I consorzi di cui all’articolo 65 comma 2 del Codice</w:t>
      </w:r>
      <w:r w:rsidRPr="006477F3">
        <w:rPr>
          <w:rFonts w:asciiTheme="majorHAnsi" w:eastAsia="Garamond" w:hAnsiTheme="majorHAnsi" w:cstheme="majorHAnsi"/>
          <w:color w:val="000000"/>
        </w:rPr>
        <w:t xml:space="preserve"> che intendono eseguire le prestazioni tramite i propri consorziati sono tenuti ad indicare per quali consorziati il consorzio concorre.</w:t>
      </w:r>
    </w:p>
    <w:p w14:paraId="5453B725"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I consorzi di cui all’articolo 65, comma 2, lettere b), c) e d) indicano per quali consorziate il consorzio concorre. Quando la consorziata designata è, a sua volta, un consorzio di cui all’art. 65, co. 2, lett. b) e c), è tenuto anch’esso ad indicare, in sede di offerta, le consorziate per le quali concorre.</w:t>
      </w:r>
    </w:p>
    <w:p w14:paraId="2AA5EA8C"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È vietata la partecipazione a più di un consorzio stabile.</w:t>
      </w:r>
    </w:p>
    <w:p w14:paraId="3A23CA1C"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 xml:space="preserve">Il concorrente che partecipa alla procedura in una delle forme di seguito indicate è escluso nel caso in cui la stazione appaltante accerti la sussistenza di rilevanti indizi tali da far ritenere che </w:t>
      </w:r>
      <w:r w:rsidRPr="006477F3">
        <w:rPr>
          <w:rFonts w:asciiTheme="majorHAnsi" w:eastAsia="Garamond" w:hAnsiTheme="majorHAnsi" w:cstheme="majorHAnsi"/>
          <w:color w:val="000000"/>
        </w:rPr>
        <w:lastRenderedPageBreak/>
        <w:t>le offerte degli operatori economici siano imputabili ad un unico centro decisionale a cagione di accordi intercorsi con altri operatori economici partecipanti alla stessa procedura:</w:t>
      </w:r>
    </w:p>
    <w:p w14:paraId="0A0D786E"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w:t>
      </w:r>
      <w:r w:rsidRPr="006477F3">
        <w:rPr>
          <w:rFonts w:asciiTheme="majorHAnsi" w:eastAsia="Garamond" w:hAnsiTheme="majorHAnsi" w:cstheme="majorHAnsi"/>
          <w:color w:val="000000"/>
        </w:rPr>
        <w:tab/>
        <w:t>partecipazione in più di un raggruppamento temporaneo o consorzio ordinario di concorrenti o aggregazione di operatori economici aderenti al contratto di rete (nel prosieguo, aggregazione di retisti)</w:t>
      </w:r>
    </w:p>
    <w:p w14:paraId="41D1C8C9"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w:t>
      </w:r>
      <w:r w:rsidRPr="006477F3">
        <w:rPr>
          <w:rFonts w:asciiTheme="majorHAnsi" w:eastAsia="Garamond" w:hAnsiTheme="majorHAnsi" w:cstheme="majorHAnsi"/>
          <w:color w:val="000000"/>
        </w:rPr>
        <w:tab/>
        <w:t>partecipazione sia in raggruppamento o consorzio ordinario di concorrenti sia in forma individuale:</w:t>
      </w:r>
    </w:p>
    <w:p w14:paraId="2810A309"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w:t>
      </w:r>
      <w:r w:rsidRPr="006477F3">
        <w:rPr>
          <w:rFonts w:asciiTheme="majorHAnsi" w:eastAsia="Garamond" w:hAnsiTheme="majorHAnsi" w:cstheme="majorHAnsi"/>
          <w:color w:val="000000"/>
        </w:rPr>
        <w:tab/>
        <w:t>partecipazione sia in aggregazione di retisti sia in forma individuale. Tale esclusione non si applica alle retiste non partecipanti all’aggregazione, le quali possono presentare offerta, per la medesima procedura, in forma singola o associata;</w:t>
      </w:r>
    </w:p>
    <w:p w14:paraId="214B45D8"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w:t>
      </w:r>
      <w:r w:rsidRPr="006477F3">
        <w:rPr>
          <w:rFonts w:asciiTheme="majorHAnsi" w:eastAsia="Garamond" w:hAnsiTheme="majorHAnsi" w:cstheme="majorHAnsi"/>
          <w:color w:val="000000"/>
        </w:rPr>
        <w:tab/>
        <w:t>partecipazione di un consorzio che ha designato un consorziato esecutore il quale, a sua volta, partecipa in una qualsiasi altra forma.</w:t>
      </w:r>
    </w:p>
    <w:p w14:paraId="5FC34470"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 xml:space="preserve"> </w:t>
      </w:r>
    </w:p>
    <w:p w14:paraId="612555C7"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 xml:space="preserve">Nel caso venga accertato quanto sopra, si provvede ad informare gli operatori economici coinvolti i quali possono, </w:t>
      </w:r>
      <w:r w:rsidRPr="006477F3">
        <w:rPr>
          <w:rFonts w:asciiTheme="majorHAnsi" w:eastAsia="Garamond" w:hAnsiTheme="majorHAnsi" w:cstheme="majorHAnsi"/>
          <w:b/>
          <w:bCs/>
          <w:color w:val="000000"/>
        </w:rPr>
        <w:t>entro 5 giorni</w:t>
      </w:r>
      <w:r w:rsidRPr="006477F3">
        <w:rPr>
          <w:rFonts w:asciiTheme="majorHAnsi" w:eastAsia="Garamond" w:hAnsiTheme="majorHAnsi" w:cstheme="majorHAnsi"/>
          <w:color w:val="000000"/>
        </w:rPr>
        <w:t>, dimostrare che la circostanza non ha influito sulla procedura, né è idonea a incidere sulla capacità di rispettare gli obblighi contrattuali.</w:t>
      </w:r>
    </w:p>
    <w:p w14:paraId="70588C01"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p>
    <w:p w14:paraId="100004F7"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Le aggregazioni di retisti di cui all’articolo 65, comma 2 lettera g) del Codice, rispettano la disciplina prevista per i raggruppamenti temporanei in quanto compatibile. In particolare:</w:t>
      </w:r>
    </w:p>
    <w:p w14:paraId="6BCB4248"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a)</w:t>
      </w:r>
      <w:r w:rsidRPr="006477F3">
        <w:rPr>
          <w:rFonts w:asciiTheme="majorHAnsi" w:eastAsia="Garamond" w:hAnsiTheme="majorHAnsi" w:cstheme="majorHAnsi"/>
          <w:color w:val="000000"/>
        </w:rPr>
        <w:tab/>
        <w:t>nel caso in cui la rete sia dotata di organo comune con potere di rappresentanza e soggettività giuridica (cd. Rete – soggetto), l’aggregazione di retisti partecipa a mezzo dell’organo comune, che assume il ruolo del mandatario, qualora in possesso dei relativi requisiti. L’organo comune può indicare anche solo alcuni tra i retisti per la partecipazione alla procedura ma deve obbligatoriamente far parte di questi;</w:t>
      </w:r>
    </w:p>
    <w:p w14:paraId="6FBABA17"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b)</w:t>
      </w:r>
      <w:r w:rsidRPr="006477F3">
        <w:rPr>
          <w:rFonts w:asciiTheme="majorHAnsi" w:eastAsia="Garamond" w:hAnsiTheme="majorHAnsi" w:cstheme="majorHAnsi"/>
          <w:color w:val="000000"/>
        </w:rPr>
        <w:tab/>
        <w:t>nel caso in cui la rete sia dotata di organo comune con potere di rappresentanza ma priva di soggettività giuridica (cd. Rete – contratto), l’aggregazione di retisti partecipa a mezzo dell’organo comune, che assume il ruolo del mandatario, qualora in possesso dei requisiti previsti per la mandataria e qualora il contratto di rete rechi mandato allo stesso a presentare domanda di partecipazione o offerta per determinate tipologie di procedure di procedura. L’organo comune può indicare anche solo alcuni tra i retisti per la partecipazione alla procedura ma deve obbligatoriamente far parte di questi;</w:t>
      </w:r>
    </w:p>
    <w:p w14:paraId="698200F6"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c)</w:t>
      </w:r>
      <w:r w:rsidRPr="006477F3">
        <w:rPr>
          <w:rFonts w:asciiTheme="majorHAnsi" w:eastAsia="Garamond" w:hAnsiTheme="majorHAnsi" w:cstheme="majorHAnsi"/>
          <w:color w:val="000000"/>
        </w:rPr>
        <w:tab/>
        <w:t>nel caso in cui la rete sia dotata di organo comune privo di potere di rappresentanza ovvero sia sprovvista di organo comune, oppure se l’organo comune è privo dei requisiti di qualificazione, l’aggregazione di retisti partecipa nella forma del raggruppamento costituito o costituendo, con applicazione integrale delle relative regole.</w:t>
      </w:r>
    </w:p>
    <w:p w14:paraId="3B6BB9E7"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Per tutte le tipologie di rete, la partecipazione congiunta alle gare deve risultare individuata nel contratto di rete come uno degli scopi strategici inclusi nel programma comune, mentre la durata dello stesso dovrà essere commisurata ai tempi di realizzazione dell’appalto.</w:t>
      </w:r>
    </w:p>
    <w:p w14:paraId="2EC7B945"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Ad un raggruppamento temporaneo può partecipare anche un consorzio di cui all’articolo 65, comma 1, lettera b), c), d) del Codice.</w:t>
      </w:r>
    </w:p>
    <w:p w14:paraId="3F1B6A8D"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lastRenderedPageBreak/>
        <w:t>L’impresa in concordato preventivo può concorrere anche riunita in raggruppamento temporaneo di imprese e sempre che le altre imprese aderenti al raggruppamento temporaneo di imprese non siano assoggettate ad una procedura concorsuale.</w:t>
      </w:r>
    </w:p>
    <w:p w14:paraId="19D37EF0"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Sono ammessi a partecipare gli operatori economici stabiliti all’estero alle seguenti condizioni. Fermo restando quanto di seguito esposto, agli operatori economici stabiliti negli altri stati membri dell’U.E., nonché a quelli stabiliti in paesi che, in base ad altre norme di diritto internazionale, o in base ad accordi bilaterali siglati con l’Unione Europea o con l’Italia, consentano la partecipazione ad appalti pubblici a condizioni di reciprocità, la qualificazione è consentita alle medesime condizioni richieste alle imprese italiane.</w:t>
      </w:r>
    </w:p>
    <w:p w14:paraId="61B97D40"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I suddetti operatori economici si qualificano alla singola procedura producendo documentazione conforme alle normative vigenti nei rispettivi paesi, idonea a dimostrare il possesso di tutti i requisiti prescritti per la qualificazione e la partecipazione degli operatori economici italiani.</w:t>
      </w:r>
    </w:p>
    <w:p w14:paraId="1D03E0FD" w14:textId="5C222255" w:rsidR="00AB7895" w:rsidRPr="006477F3" w:rsidRDefault="00AB7895" w:rsidP="00EF7CDE">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Ai fini degli accertamenti relativi alle cause di esclusione di cui agli articoli 94 e ss. del D.Lgs. 36/2023, nei confronti dei candidati o concorrenti non stabiliti in Italia, la stazione appaltante chiede se del caso di fornire i necessari documenti probatori, e possono altresì chiedere la cooperazione delle autorità competenti. I concorrenti stranieri dovranno produrre le certificazioni, le dichiarazioni e i documenti</w:t>
      </w:r>
      <w:r w:rsidR="00EF7CDE" w:rsidRPr="006477F3">
        <w:rPr>
          <w:rFonts w:asciiTheme="majorHAnsi" w:eastAsia="Garamond" w:hAnsiTheme="majorHAnsi" w:cstheme="majorHAnsi"/>
          <w:color w:val="000000"/>
        </w:rPr>
        <w:t xml:space="preserve"> </w:t>
      </w:r>
      <w:r w:rsidRPr="006477F3">
        <w:rPr>
          <w:rFonts w:asciiTheme="majorHAnsi" w:eastAsia="Garamond" w:hAnsiTheme="majorHAnsi" w:cstheme="majorHAnsi"/>
          <w:color w:val="000000"/>
        </w:rPr>
        <w:t>equivalenti in base alla legislazione vigente nei Paesi in cui sono stabiliti, ovvero secondo quanto previsto dall’art. 3 DPR 445/2000.</w:t>
      </w:r>
    </w:p>
    <w:p w14:paraId="38DB057B" w14:textId="77777777" w:rsidR="00AB7895" w:rsidRPr="006477F3"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r w:rsidRPr="006477F3">
        <w:rPr>
          <w:rFonts w:asciiTheme="majorHAnsi" w:eastAsia="Garamond" w:hAnsiTheme="majorHAnsi" w:cstheme="majorHAnsi"/>
          <w:color w:val="000000"/>
        </w:rPr>
        <w:t>Se nessun documento o certificato è rilasciato da altro Stato dell’U.E., costituisce prova sufficiente una dichiarazione giurata, ovvero, negli Stati membri in cui non esiste siffatta dichiarazione, una dichiarazione resa dall’interessato innanzi a un’autorità giudiziaria o amministrativa competente, a un notaio o a un organismo professionale qualificato a riceverla nel Paese di origine o di provenienza.</w:t>
      </w:r>
    </w:p>
    <w:p w14:paraId="456E02AB" w14:textId="77777777" w:rsidR="00AB7895" w:rsidRDefault="00AB7895"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p>
    <w:p w14:paraId="056DAE50" w14:textId="31FF432D" w:rsidR="0048532C" w:rsidRPr="0048532C" w:rsidRDefault="0048532C" w:rsidP="00AB7895">
      <w:pPr>
        <w:pBdr>
          <w:top w:val="nil"/>
          <w:left w:val="nil"/>
          <w:bottom w:val="nil"/>
          <w:right w:val="nil"/>
          <w:between w:val="nil"/>
        </w:pBdr>
        <w:spacing w:line="276" w:lineRule="auto"/>
        <w:ind w:hanging="2"/>
        <w:jc w:val="both"/>
        <w:rPr>
          <w:rFonts w:asciiTheme="majorHAnsi" w:eastAsia="Garamond" w:hAnsiTheme="majorHAnsi" w:cstheme="majorHAnsi"/>
          <w:b/>
          <w:bCs/>
          <w:color w:val="000000"/>
        </w:rPr>
      </w:pPr>
      <w:r w:rsidRPr="0048532C">
        <w:rPr>
          <w:rFonts w:asciiTheme="majorHAnsi" w:eastAsia="Garamond" w:hAnsiTheme="majorHAnsi" w:cstheme="majorHAnsi"/>
          <w:b/>
          <w:bCs/>
          <w:color w:val="000000"/>
        </w:rPr>
        <w:t>Ai sensi dell’art. 68, comma 19, del d. Lgs. 36/2023, l'operatore economico invitato individualmente può presentare offerta o trattare per sé o quale mandatario di operatori riuniti.</w:t>
      </w:r>
    </w:p>
    <w:p w14:paraId="2DDB1624" w14:textId="77777777" w:rsidR="0048532C" w:rsidRPr="006477F3" w:rsidRDefault="0048532C" w:rsidP="00AB7895">
      <w:pPr>
        <w:pBdr>
          <w:top w:val="nil"/>
          <w:left w:val="nil"/>
          <w:bottom w:val="nil"/>
          <w:right w:val="nil"/>
          <w:between w:val="nil"/>
        </w:pBdr>
        <w:spacing w:line="276" w:lineRule="auto"/>
        <w:ind w:hanging="2"/>
        <w:jc w:val="both"/>
        <w:rPr>
          <w:rFonts w:asciiTheme="majorHAnsi" w:eastAsia="Garamond" w:hAnsiTheme="majorHAnsi" w:cstheme="majorHAnsi"/>
          <w:color w:val="000000"/>
        </w:rPr>
      </w:pPr>
    </w:p>
    <w:p w14:paraId="7F3B5007" w14:textId="74DA85C2" w:rsidR="00C71490" w:rsidRPr="006477F3" w:rsidRDefault="00C71490" w:rsidP="0069424C">
      <w:pPr>
        <w:pStyle w:val="Paragrafoelenco"/>
        <w:numPr>
          <w:ilvl w:val="0"/>
          <w:numId w:val="10"/>
        </w:numPr>
        <w:autoSpaceDE w:val="0"/>
        <w:spacing w:line="276" w:lineRule="auto"/>
        <w:ind w:left="284"/>
        <w:jc w:val="both"/>
        <w:rPr>
          <w:rFonts w:asciiTheme="majorHAnsi" w:eastAsia="Times New Roman" w:hAnsiTheme="majorHAnsi" w:cstheme="majorHAnsi"/>
          <w:b/>
          <w:bCs/>
          <w:lang w:eastAsia="it-IT"/>
        </w:rPr>
      </w:pPr>
      <w:bookmarkStart w:id="2" w:name="_Ref194589045"/>
      <w:r w:rsidRPr="006477F3">
        <w:rPr>
          <w:rFonts w:asciiTheme="majorHAnsi" w:eastAsia="Microsoft YaHei UI" w:hAnsiTheme="majorHAnsi" w:cstheme="majorHAnsi"/>
          <w:b/>
          <w:bCs/>
          <w:lang w:eastAsia="it-IT"/>
        </w:rPr>
        <w:t>REQUISITI DI ORDINE GENERALE E ALTRE CAUSE DI ESCLUSIONE</w:t>
      </w:r>
      <w:bookmarkEnd w:id="2"/>
    </w:p>
    <w:p w14:paraId="640CA460" w14:textId="0B53FD78" w:rsidR="00C71490" w:rsidRPr="006477F3" w:rsidRDefault="00C71490" w:rsidP="00DB09C5">
      <w:pPr>
        <w:autoSpaceDE w:val="0"/>
        <w:spacing w:line="276" w:lineRule="auto"/>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t>I concorrenti devono essere in possesso, a pena di esclusione, dei requisiti di ordine generale previsti dal Codice nonché degli ulteriori requisiti indicati nel presente articolo.</w:t>
      </w:r>
    </w:p>
    <w:p w14:paraId="3F06E1DE" w14:textId="302F8D35" w:rsidR="00C71490" w:rsidRPr="006477F3" w:rsidRDefault="00C71490" w:rsidP="00DB09C5">
      <w:pPr>
        <w:autoSpaceDE w:val="0"/>
        <w:spacing w:line="276" w:lineRule="auto"/>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t>La stazione appaltante verifica il possesso dei requisiti di ordine generale accedendo al fascicolo virtuale dell’operatore economico (di seguito: FVOE</w:t>
      </w:r>
      <w:r w:rsidR="00AE54E0" w:rsidRPr="006477F3">
        <w:rPr>
          <w:rFonts w:asciiTheme="majorHAnsi" w:eastAsia="Microsoft YaHei UI" w:hAnsiTheme="majorHAnsi" w:cstheme="majorHAnsi"/>
          <w:bCs/>
          <w:lang w:eastAsia="it-IT"/>
        </w:rPr>
        <w:t xml:space="preserve"> 2.0</w:t>
      </w:r>
      <w:r w:rsidRPr="006477F3">
        <w:rPr>
          <w:rFonts w:asciiTheme="majorHAnsi" w:eastAsia="Microsoft YaHei UI" w:hAnsiTheme="majorHAnsi" w:cstheme="majorHAnsi"/>
          <w:bCs/>
          <w:lang w:eastAsia="it-IT"/>
        </w:rPr>
        <w:t>).</w:t>
      </w:r>
    </w:p>
    <w:p w14:paraId="41990A70" w14:textId="2B48EEF7" w:rsidR="00C71490" w:rsidRPr="006477F3" w:rsidRDefault="00C71490" w:rsidP="00DB09C5">
      <w:pPr>
        <w:autoSpaceDE w:val="0"/>
        <w:spacing w:line="276" w:lineRule="auto"/>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t>Le circostanze di cui all’articolo 94 del Codice sono cause di esclusione automatica. La sussistenza delle circostanze di cui all’articolo 95 del Codice è accertata previo contraddittorio con l’operatore economico.</w:t>
      </w:r>
    </w:p>
    <w:p w14:paraId="4DFA6689" w14:textId="280442DD" w:rsidR="00C71490" w:rsidRPr="006477F3" w:rsidRDefault="00C71490" w:rsidP="00DB09C5">
      <w:pPr>
        <w:autoSpaceDE w:val="0"/>
        <w:spacing w:line="276" w:lineRule="auto"/>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t>In caso di partecipazione di consorzi di cui all’articolo 65, comma 2, lettere b) e c) del Codice, i requisiti di cui al punto 5 sono posseduti dal consorzio e dalle consorziate indicate quali esecutrici.</w:t>
      </w:r>
    </w:p>
    <w:p w14:paraId="1A3C68CB" w14:textId="77777777" w:rsidR="00C71490" w:rsidRPr="006477F3" w:rsidRDefault="00C71490" w:rsidP="00DB09C5">
      <w:pPr>
        <w:autoSpaceDE w:val="0"/>
        <w:spacing w:line="276" w:lineRule="auto"/>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lastRenderedPageBreak/>
        <w:t>In caso di partecipazione di consorzi stabili di cui all’articolo 65, comma 2, lett. d) del Codice, i requisiti di cui al punto 5 sono posseduti dal consorzio, dalle consorziate indicate quali esecutrici e dalle consorziate che prestano i requisiti.</w:t>
      </w:r>
    </w:p>
    <w:p w14:paraId="1A8CF11D" w14:textId="77777777" w:rsidR="00C71490" w:rsidRPr="006477F3" w:rsidRDefault="00C71490" w:rsidP="00DB09C5">
      <w:pPr>
        <w:autoSpaceDE w:val="0"/>
        <w:spacing w:line="276" w:lineRule="auto"/>
        <w:jc w:val="both"/>
        <w:rPr>
          <w:rFonts w:asciiTheme="majorHAnsi" w:eastAsia="Microsoft YaHei UI" w:hAnsiTheme="majorHAnsi" w:cstheme="majorHAnsi"/>
          <w:bCs/>
          <w:lang w:eastAsia="it-IT"/>
        </w:rPr>
      </w:pPr>
    </w:p>
    <w:p w14:paraId="2C0AB64F" w14:textId="77777777" w:rsidR="00C71490" w:rsidRPr="006477F3" w:rsidRDefault="00C71490" w:rsidP="00DB09C5">
      <w:pPr>
        <w:autoSpaceDE w:val="0"/>
        <w:spacing w:line="276" w:lineRule="auto"/>
        <w:jc w:val="both"/>
        <w:rPr>
          <w:rFonts w:asciiTheme="majorHAnsi" w:eastAsia="Microsoft YaHei UI" w:hAnsiTheme="majorHAnsi" w:cstheme="majorHAnsi"/>
          <w:b/>
          <w:bCs/>
          <w:lang w:eastAsia="it-IT"/>
        </w:rPr>
      </w:pPr>
      <w:r w:rsidRPr="006477F3">
        <w:rPr>
          <w:rFonts w:asciiTheme="majorHAnsi" w:eastAsia="Microsoft YaHei UI" w:hAnsiTheme="majorHAnsi" w:cstheme="majorHAnsi"/>
          <w:b/>
          <w:bCs/>
          <w:lang w:eastAsia="it-IT"/>
        </w:rPr>
        <w:t>Self cleaning</w:t>
      </w:r>
    </w:p>
    <w:p w14:paraId="3200C732" w14:textId="77777777" w:rsidR="00C71490" w:rsidRPr="006477F3" w:rsidRDefault="00C71490" w:rsidP="00DB09C5">
      <w:pPr>
        <w:autoSpaceDE w:val="0"/>
        <w:spacing w:line="276" w:lineRule="auto"/>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t xml:space="preserve">Un operatore economico che si trovi in una delle situazioni di cui agli articoli 94 e 95 del Codice, ad eccezione delle irregolarità contributive e fiscali definitivamente e non definitivamente accertate, può fornire prova di aver adottato misure (c.d. </w:t>
      </w:r>
      <w:r w:rsidRPr="006477F3">
        <w:rPr>
          <w:rFonts w:asciiTheme="majorHAnsi" w:eastAsia="Microsoft YaHei UI" w:hAnsiTheme="majorHAnsi" w:cstheme="majorHAnsi"/>
          <w:bCs/>
          <w:i/>
          <w:iCs/>
          <w:lang w:eastAsia="it-IT"/>
        </w:rPr>
        <w:t>self cleaning</w:t>
      </w:r>
      <w:r w:rsidRPr="006477F3">
        <w:rPr>
          <w:rFonts w:asciiTheme="majorHAnsi" w:eastAsia="Microsoft YaHei UI" w:hAnsiTheme="majorHAnsi" w:cstheme="majorHAnsi"/>
          <w:bCs/>
          <w:lang w:eastAsia="it-IT"/>
        </w:rPr>
        <w:t xml:space="preserve">) sufficienti a dimostrare la sua affidabilità. </w:t>
      </w:r>
    </w:p>
    <w:p w14:paraId="62E6A27A" w14:textId="77777777" w:rsidR="00C71490" w:rsidRPr="006477F3" w:rsidRDefault="00C71490" w:rsidP="00DB09C5">
      <w:pPr>
        <w:autoSpaceDE w:val="0"/>
        <w:spacing w:line="276" w:lineRule="auto"/>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t>Se la causa di esclusione si è verificata prima della presentazione dell’offerta, l’operatore economico indica nel DGUE la causa ostativa e, alternativamente:</w:t>
      </w:r>
    </w:p>
    <w:p w14:paraId="44F40FF1" w14:textId="77777777" w:rsidR="00C71490" w:rsidRPr="006477F3" w:rsidRDefault="00C71490" w:rsidP="00AC7153">
      <w:pPr>
        <w:numPr>
          <w:ilvl w:val="0"/>
          <w:numId w:val="2"/>
        </w:numPr>
        <w:autoSpaceDE w:val="0"/>
        <w:spacing w:line="276" w:lineRule="auto"/>
        <w:ind w:left="284" w:hanging="284"/>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t>descrive le misure adottate ai sensi dell’articolo 96, comma 6 del Codice;</w:t>
      </w:r>
    </w:p>
    <w:p w14:paraId="6214606C" w14:textId="77777777" w:rsidR="00C71490" w:rsidRPr="006477F3" w:rsidRDefault="00C71490" w:rsidP="00AC7153">
      <w:pPr>
        <w:numPr>
          <w:ilvl w:val="0"/>
          <w:numId w:val="2"/>
        </w:numPr>
        <w:autoSpaceDE w:val="0"/>
        <w:spacing w:line="276" w:lineRule="auto"/>
        <w:ind w:left="284" w:hanging="284"/>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t xml:space="preserve">motiva l’impossibilità ad adottare dette misure e si impegna a provvedere successivamente. L’adozione delle misure è comunicata alla stazione appaltante. </w:t>
      </w:r>
    </w:p>
    <w:p w14:paraId="42C40133" w14:textId="77777777" w:rsidR="00C71490" w:rsidRPr="006477F3" w:rsidRDefault="00C71490" w:rsidP="00DB09C5">
      <w:pPr>
        <w:autoSpaceDE w:val="0"/>
        <w:spacing w:line="276" w:lineRule="auto"/>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t>Se la causa di esclusione si è verificata successivamente alla presentazione dell’offerta, l’operatore economico adotta le misure di cui al comma 6 dell’articolo 96 del Codice dandone comunicazione alla stazione appaltante.</w:t>
      </w:r>
    </w:p>
    <w:p w14:paraId="746EE5EE" w14:textId="77777777" w:rsidR="00C71490" w:rsidRPr="006477F3" w:rsidRDefault="00C71490" w:rsidP="00DB09C5">
      <w:pPr>
        <w:autoSpaceDE w:val="0"/>
        <w:spacing w:line="276" w:lineRule="auto"/>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p>
    <w:p w14:paraId="5D77C495" w14:textId="77777777" w:rsidR="00C71490" w:rsidRPr="006477F3" w:rsidRDefault="00C71490" w:rsidP="00DB09C5">
      <w:pPr>
        <w:autoSpaceDE w:val="0"/>
        <w:spacing w:line="276" w:lineRule="auto"/>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t xml:space="preserve">Se le misure adottate sono ritenute sufficienti e tempestive, l’operatore economico non è escluso. Se dette misure sono ritenute insufficienti e intempestive, la stazione appaltante ne comunica le ragioni all’operatore economico. </w:t>
      </w:r>
    </w:p>
    <w:p w14:paraId="56BD8256" w14:textId="77777777" w:rsidR="00C71490" w:rsidRPr="006477F3" w:rsidRDefault="00C71490" w:rsidP="00DB09C5">
      <w:pPr>
        <w:autoSpaceDE w:val="0"/>
        <w:spacing w:line="276" w:lineRule="auto"/>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t xml:space="preserve">Non può avvalersi del </w:t>
      </w:r>
      <w:r w:rsidRPr="006477F3">
        <w:rPr>
          <w:rFonts w:asciiTheme="majorHAnsi" w:eastAsia="Microsoft YaHei UI" w:hAnsiTheme="majorHAnsi" w:cstheme="majorHAnsi"/>
          <w:bCs/>
          <w:i/>
          <w:iCs/>
          <w:lang w:eastAsia="it-IT"/>
        </w:rPr>
        <w:t>self-cleaning</w:t>
      </w:r>
      <w:r w:rsidRPr="006477F3">
        <w:rPr>
          <w:rFonts w:asciiTheme="majorHAnsi" w:eastAsia="Microsoft YaHei UI" w:hAnsiTheme="majorHAnsi" w:cstheme="majorHAnsi"/>
          <w:bCs/>
          <w:lang w:eastAsia="it-IT"/>
        </w:rPr>
        <w:t xml:space="preserve"> l’operatore economico escluso con sentenza definitiva dalla partecipazione alle procedure di affidamento o di concessione, nel corso del periodo di esclusione derivante da tale sentenza.</w:t>
      </w:r>
    </w:p>
    <w:p w14:paraId="3F3E00E6" w14:textId="77777777" w:rsidR="00C71490" w:rsidRPr="006477F3" w:rsidRDefault="00C71490" w:rsidP="00DB09C5">
      <w:pPr>
        <w:autoSpaceDE w:val="0"/>
        <w:spacing w:line="276" w:lineRule="auto"/>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t xml:space="preserve">Nel caso in cui un raggruppamento/consorzio abbia estromesso o sostituito un partecipante/esecutore interessato da una clausola di esclusione di cui agli articoli 94 e 95 del Codice, si valutano le misure adottate ai sensi dell’articolo 97 del Codice al fine di decidere sull’esclusione. </w:t>
      </w:r>
    </w:p>
    <w:p w14:paraId="48B5415C" w14:textId="77777777" w:rsidR="00C71490" w:rsidRPr="006477F3" w:rsidRDefault="00C71490" w:rsidP="00DB09C5">
      <w:pPr>
        <w:widowControl w:val="0"/>
        <w:autoSpaceDE w:val="0"/>
        <w:spacing w:line="276" w:lineRule="auto"/>
        <w:jc w:val="both"/>
        <w:rPr>
          <w:rFonts w:asciiTheme="majorHAnsi" w:eastAsia="Microsoft YaHei UI" w:hAnsiTheme="majorHAnsi" w:cstheme="majorHAnsi"/>
          <w:bCs/>
          <w:lang w:eastAsia="it-IT"/>
        </w:rPr>
      </w:pPr>
    </w:p>
    <w:p w14:paraId="6C993D09" w14:textId="77777777" w:rsidR="00C71490" w:rsidRPr="006477F3" w:rsidRDefault="00C71490" w:rsidP="00DB09C5">
      <w:pPr>
        <w:autoSpaceDE w:val="0"/>
        <w:spacing w:line="276" w:lineRule="auto"/>
        <w:jc w:val="both"/>
        <w:rPr>
          <w:rFonts w:asciiTheme="majorHAnsi" w:eastAsia="Microsoft YaHei UI" w:hAnsiTheme="majorHAnsi" w:cstheme="majorHAnsi"/>
          <w:bCs/>
          <w:lang w:eastAsia="it-IT"/>
        </w:rPr>
      </w:pPr>
      <w:r w:rsidRPr="006477F3">
        <w:rPr>
          <w:rFonts w:asciiTheme="majorHAnsi" w:eastAsia="Microsoft YaHei UI" w:hAnsiTheme="majorHAnsi" w:cstheme="majorHAnsi"/>
          <w:b/>
          <w:bCs/>
          <w:lang w:eastAsia="it-IT"/>
        </w:rPr>
        <w:t>Altre cause di esclusione</w:t>
      </w:r>
    </w:p>
    <w:p w14:paraId="6CBA9062" w14:textId="4685D68D" w:rsidR="00191C5C" w:rsidRPr="006477F3" w:rsidRDefault="00C71490" w:rsidP="00401B90">
      <w:pPr>
        <w:autoSpaceDE w:val="0"/>
        <w:spacing w:line="276" w:lineRule="auto"/>
        <w:jc w:val="both"/>
        <w:rPr>
          <w:rFonts w:asciiTheme="majorHAnsi" w:eastAsia="Microsoft YaHei UI" w:hAnsiTheme="majorHAnsi" w:cstheme="majorHAnsi"/>
          <w:bCs/>
          <w:lang w:eastAsia="it-IT"/>
        </w:rPr>
      </w:pPr>
      <w:r w:rsidRPr="006477F3">
        <w:rPr>
          <w:rFonts w:asciiTheme="majorHAnsi" w:eastAsia="Microsoft YaHei UI" w:hAnsiTheme="majorHAnsi" w:cstheme="majorHAnsi"/>
          <w:bCs/>
          <w:lang w:eastAsia="it-IT"/>
        </w:rPr>
        <w:t>Sono esclusi gli</w:t>
      </w:r>
      <w:r w:rsidRPr="006477F3">
        <w:rPr>
          <w:rFonts w:asciiTheme="majorHAnsi" w:eastAsia="Microsoft YaHei UI" w:hAnsiTheme="majorHAnsi" w:cstheme="majorHAnsi"/>
          <w:b/>
          <w:bCs/>
          <w:lang w:eastAsia="it-IT"/>
        </w:rPr>
        <w:t xml:space="preserve"> </w:t>
      </w:r>
      <w:r w:rsidRPr="006477F3">
        <w:rPr>
          <w:rFonts w:asciiTheme="majorHAnsi" w:eastAsia="Microsoft YaHei UI" w:hAnsiTheme="majorHAnsi" w:cstheme="majorHAnsi"/>
          <w:bCs/>
          <w:lang w:eastAsia="it-IT"/>
        </w:rPr>
        <w:t>operatori economici che abbiano affidato incarichi in violazione dell’articolo 53, comma 16-ter, del decreto legislativo del 2001 n. 165 a soggetti che hanno esercitato, in qualità di dipendenti, poteri autoritativi o negoziali presso l’amministrazione affidante negli ultimi tre anni.</w:t>
      </w:r>
    </w:p>
    <w:p w14:paraId="010F97E5" w14:textId="1CB13452" w:rsidR="00C71490" w:rsidRPr="006477F3" w:rsidRDefault="00C71490" w:rsidP="00DB09C5">
      <w:pPr>
        <w:spacing w:line="276" w:lineRule="auto"/>
        <w:jc w:val="both"/>
        <w:rPr>
          <w:rFonts w:asciiTheme="majorHAnsi" w:hAnsiTheme="majorHAnsi" w:cstheme="majorHAnsi"/>
          <w:bCs/>
          <w:iCs/>
        </w:rPr>
      </w:pPr>
      <w:r w:rsidRPr="006477F3">
        <w:rPr>
          <w:rFonts w:asciiTheme="majorHAnsi" w:hAnsiTheme="majorHAnsi" w:cstheme="majorHAnsi"/>
          <w:bCs/>
          <w:iCs/>
        </w:rPr>
        <w:t xml:space="preserve">In considerazione del fatto che la prestazione dei servizi previsti in appalto comporta anche l’esecuzione di alcune delle </w:t>
      </w:r>
      <w:r w:rsidRPr="006477F3">
        <w:rPr>
          <w:rFonts w:asciiTheme="majorHAnsi" w:hAnsiTheme="majorHAnsi" w:cstheme="majorHAnsi"/>
          <w:b/>
          <w:bCs/>
          <w:iCs/>
        </w:rPr>
        <w:t xml:space="preserve">attività definite come maggiormente esposte a rischio di </w:t>
      </w:r>
      <w:r w:rsidRPr="006477F3">
        <w:rPr>
          <w:rFonts w:asciiTheme="majorHAnsi" w:hAnsiTheme="majorHAnsi" w:cstheme="majorHAnsi"/>
          <w:b/>
          <w:bCs/>
          <w:iCs/>
        </w:rPr>
        <w:lastRenderedPageBreak/>
        <w:t>infiltrazione mafiosa</w:t>
      </w:r>
      <w:r w:rsidRPr="006477F3">
        <w:rPr>
          <w:rFonts w:asciiTheme="majorHAnsi" w:hAnsiTheme="majorHAnsi" w:cstheme="majorHAnsi"/>
          <w:bCs/>
          <w:iCs/>
        </w:rPr>
        <w:t xml:space="preserve">, ai sensi dell’art. 1 comma 53 della legge 06/11/2012, n. 190, </w:t>
      </w:r>
      <w:r w:rsidRPr="006477F3">
        <w:rPr>
          <w:rFonts w:asciiTheme="majorHAnsi" w:hAnsiTheme="majorHAnsi" w:cstheme="majorHAnsi"/>
          <w:b/>
          <w:bCs/>
          <w:iCs/>
        </w:rPr>
        <w:t xml:space="preserve">i concorrenti che sono intenzionati a svolgere direttamente tali prestazioni, devono possedere l’iscrizione nell’elenco dei fornitori, prestatori di servizi ed esecutori di lavori non soggetti a tentativo di infiltrazione mafiosa (cosiddetta white list) </w:t>
      </w:r>
      <w:r w:rsidRPr="006477F3">
        <w:rPr>
          <w:rFonts w:asciiTheme="majorHAnsi" w:hAnsiTheme="majorHAnsi" w:cstheme="majorHAnsi"/>
          <w:bCs/>
          <w:iCs/>
        </w:rPr>
        <w:t xml:space="preserve">istituito presso la Prefettura della provincia in cui l’operatore economico ha la propria sede </w:t>
      </w:r>
      <w:r w:rsidRPr="006477F3">
        <w:rPr>
          <w:rFonts w:asciiTheme="majorHAnsi" w:hAnsiTheme="majorHAnsi" w:cstheme="majorHAnsi"/>
          <w:b/>
          <w:bCs/>
          <w:iCs/>
        </w:rPr>
        <w:t xml:space="preserve">oppure devono aver presentato domanda di iscrizione al predetto elenco entro la data di scadenza </w:t>
      </w:r>
      <w:r w:rsidR="00EF4D3F">
        <w:rPr>
          <w:rFonts w:asciiTheme="majorHAnsi" w:hAnsiTheme="majorHAnsi" w:cstheme="majorHAnsi"/>
          <w:b/>
          <w:bCs/>
          <w:iCs/>
        </w:rPr>
        <w:t>per la presentazione delle offerte</w:t>
      </w:r>
      <w:r w:rsidRPr="006477F3">
        <w:rPr>
          <w:rFonts w:asciiTheme="majorHAnsi" w:hAnsiTheme="majorHAnsi" w:cstheme="majorHAnsi"/>
          <w:b/>
          <w:bCs/>
          <w:iCs/>
        </w:rPr>
        <w:t xml:space="preserve">. </w:t>
      </w:r>
    </w:p>
    <w:p w14:paraId="78D2FA8A" w14:textId="1784B6E4" w:rsidR="00C71490" w:rsidRPr="006477F3" w:rsidRDefault="00C71490" w:rsidP="00DB09C5">
      <w:pPr>
        <w:pStyle w:val="Paragrafoelenco"/>
        <w:spacing w:line="276" w:lineRule="auto"/>
        <w:ind w:left="0"/>
        <w:jc w:val="both"/>
        <w:rPr>
          <w:rFonts w:asciiTheme="majorHAnsi" w:hAnsiTheme="majorHAnsi" w:cstheme="majorHAnsi"/>
          <w:bCs/>
          <w:iCs/>
        </w:rPr>
      </w:pPr>
      <w:r w:rsidRPr="006477F3">
        <w:rPr>
          <w:rFonts w:asciiTheme="majorHAnsi" w:hAnsiTheme="majorHAnsi" w:cstheme="majorHAnsi"/>
          <w:bCs/>
          <w:iCs/>
        </w:rPr>
        <w:t>Fermo restando il fatto che l'iscrizione alla white list dovrà essere posseduta dal soggetto che effettivamente andrà a svolgere la prestazione rientrante all’interno dell’elenco di cui all’articolo 1, comma 53, della legge di cui sopra, il quale potrà essere, in base al caso concreto, l’appaltatore stesso, un’impresa del raggruppamento temporaneo, una consorziata esecutrice, il subappaltatore o il sub affidatario.</w:t>
      </w:r>
    </w:p>
    <w:p w14:paraId="50E26C67" w14:textId="77777777" w:rsidR="00C71490" w:rsidRPr="006477F3" w:rsidRDefault="00C71490" w:rsidP="00DB09C5">
      <w:pPr>
        <w:pStyle w:val="Paragrafoelenco"/>
        <w:spacing w:line="276" w:lineRule="auto"/>
        <w:ind w:left="0"/>
        <w:jc w:val="both"/>
        <w:rPr>
          <w:rFonts w:asciiTheme="majorHAnsi" w:hAnsiTheme="majorHAnsi" w:cstheme="majorHAnsi"/>
          <w:bCs/>
          <w:iCs/>
        </w:rPr>
      </w:pPr>
      <w:r w:rsidRPr="006477F3">
        <w:rPr>
          <w:rFonts w:asciiTheme="majorHAnsi" w:hAnsiTheme="majorHAnsi" w:cstheme="majorHAnsi"/>
          <w:bCs/>
          <w:iCs/>
        </w:rPr>
        <w:t>Le attività rientranti nell’elenco di cui all’articolo 1, comma 53, della Legge 06/11/2012, n. 190 e richieste nel presente appalto sono le seguenti:</w:t>
      </w:r>
    </w:p>
    <w:p w14:paraId="19659764" w14:textId="51093D5D" w:rsidR="00C71490" w:rsidRPr="006477F3" w:rsidRDefault="00C71490" w:rsidP="00AC7153">
      <w:pPr>
        <w:pStyle w:val="Paragrafoelenco"/>
        <w:numPr>
          <w:ilvl w:val="0"/>
          <w:numId w:val="3"/>
        </w:numPr>
        <w:suppressAutoHyphens/>
        <w:spacing w:line="276" w:lineRule="auto"/>
        <w:ind w:left="284" w:hanging="284"/>
        <w:contextualSpacing w:val="0"/>
        <w:jc w:val="both"/>
        <w:rPr>
          <w:rFonts w:asciiTheme="majorHAnsi" w:hAnsiTheme="majorHAnsi" w:cstheme="majorHAnsi"/>
          <w:bCs/>
          <w:iCs/>
        </w:rPr>
      </w:pPr>
      <w:r w:rsidRPr="006477F3">
        <w:rPr>
          <w:rFonts w:asciiTheme="majorHAnsi" w:hAnsiTheme="majorHAnsi" w:cstheme="majorHAnsi"/>
          <w:bCs/>
          <w:iCs/>
        </w:rPr>
        <w:t>ristorazione, gestione delle mense e catering.</w:t>
      </w:r>
    </w:p>
    <w:p w14:paraId="696DA759" w14:textId="77777777" w:rsidR="00C71490" w:rsidRDefault="00C71490" w:rsidP="00DB09C5">
      <w:pPr>
        <w:pStyle w:val="Paragrafoelenco"/>
        <w:spacing w:line="276" w:lineRule="auto"/>
        <w:ind w:left="0"/>
        <w:jc w:val="both"/>
        <w:rPr>
          <w:rFonts w:asciiTheme="majorHAnsi" w:hAnsiTheme="majorHAnsi" w:cstheme="majorHAnsi"/>
          <w:bCs/>
          <w:iCs/>
        </w:rPr>
      </w:pPr>
    </w:p>
    <w:p w14:paraId="184EC690" w14:textId="77777777" w:rsidR="00EF4D3F" w:rsidRDefault="00EF4D3F" w:rsidP="00EF4D3F">
      <w:pPr>
        <w:pStyle w:val="Corpotesto"/>
        <w:ind w:left="0"/>
      </w:pPr>
      <w:r>
        <w:rPr>
          <w:color w:val="221F1F"/>
        </w:rPr>
        <w:t>Il mancato rispetto delle clausole</w:t>
      </w:r>
      <w:r>
        <w:rPr>
          <w:color w:val="221F1F"/>
          <w:spacing w:val="-1"/>
        </w:rPr>
        <w:t xml:space="preserve"> </w:t>
      </w:r>
      <w:r>
        <w:rPr>
          <w:color w:val="221F1F"/>
        </w:rPr>
        <w:t>contenute nel patto di integrità</w:t>
      </w:r>
      <w:r>
        <w:rPr>
          <w:color w:val="221F1F"/>
          <w:spacing w:val="40"/>
        </w:rPr>
        <w:t xml:space="preserve"> </w:t>
      </w:r>
      <w:r>
        <w:rPr>
          <w:color w:val="221F1F"/>
        </w:rPr>
        <w:t>-</w:t>
      </w:r>
      <w:r>
        <w:rPr>
          <w:color w:val="221F1F"/>
          <w:spacing w:val="-1"/>
        </w:rPr>
        <w:t xml:space="preserve"> </w:t>
      </w:r>
      <w:r>
        <w:rPr>
          <w:color w:val="221F1F"/>
        </w:rPr>
        <w:t>ove</w:t>
      </w:r>
      <w:r>
        <w:rPr>
          <w:color w:val="221F1F"/>
          <w:spacing w:val="-1"/>
        </w:rPr>
        <w:t xml:space="preserve"> </w:t>
      </w:r>
      <w:r>
        <w:rPr>
          <w:color w:val="221F1F"/>
        </w:rPr>
        <w:t>presente</w:t>
      </w:r>
      <w:r>
        <w:rPr>
          <w:color w:val="221F1F"/>
          <w:spacing w:val="-1"/>
        </w:rPr>
        <w:t xml:space="preserve"> </w:t>
      </w:r>
      <w:r>
        <w:rPr>
          <w:color w:val="221F1F"/>
        </w:rPr>
        <w:t>-</w:t>
      </w:r>
      <w:r>
        <w:rPr>
          <w:color w:val="221F1F"/>
          <w:spacing w:val="-1"/>
        </w:rPr>
        <w:t xml:space="preserve"> </w:t>
      </w:r>
      <w:r>
        <w:rPr>
          <w:color w:val="221F1F"/>
        </w:rPr>
        <w:t xml:space="preserve">costituisce </w:t>
      </w:r>
      <w:r>
        <w:rPr>
          <w:b/>
          <w:color w:val="221F1F"/>
        </w:rPr>
        <w:t>causa</w:t>
      </w:r>
      <w:r>
        <w:rPr>
          <w:color w:val="221F1F"/>
        </w:rPr>
        <w:t xml:space="preserve"> </w:t>
      </w:r>
      <w:r>
        <w:rPr>
          <w:b/>
          <w:color w:val="221F1F"/>
        </w:rPr>
        <w:t>di</w:t>
      </w:r>
      <w:r>
        <w:rPr>
          <w:color w:val="221F1F"/>
        </w:rPr>
        <w:t xml:space="preserve"> </w:t>
      </w:r>
      <w:r>
        <w:rPr>
          <w:b/>
          <w:color w:val="221F1F"/>
        </w:rPr>
        <w:t>esclusione</w:t>
      </w:r>
      <w:r>
        <w:rPr>
          <w:color w:val="221F1F"/>
        </w:rPr>
        <w:t xml:space="preserve"> dalla procedura, ai sensi dell’articolo 83 bis del decreto legislativo n. 159/2011.</w:t>
      </w:r>
    </w:p>
    <w:p w14:paraId="212434E4" w14:textId="77777777" w:rsidR="00EF4D3F" w:rsidRDefault="00EF4D3F" w:rsidP="00EF4D3F">
      <w:pPr>
        <w:pStyle w:val="Corpotesto"/>
        <w:ind w:left="0"/>
      </w:pPr>
    </w:p>
    <w:p w14:paraId="050DD99C" w14:textId="77777777" w:rsidR="00EF4D3F" w:rsidRDefault="00EF4D3F" w:rsidP="00EF4D3F">
      <w:pPr>
        <w:pStyle w:val="Corpotesto"/>
        <w:ind w:left="0"/>
      </w:pPr>
      <w:r>
        <w:rPr>
          <w:color w:val="221F1F"/>
        </w:rPr>
        <w:t>Costituisce causa di esclusione degli operatori economici dalla procedura di gara il mancato rispetto, al momento della presentazione dell'offerta, degli obblighi in materia di lavoro delle persone con disabilità</w:t>
      </w:r>
      <w:r>
        <w:rPr>
          <w:color w:val="221F1F"/>
          <w:spacing w:val="-4"/>
        </w:rPr>
        <w:t xml:space="preserve"> </w:t>
      </w:r>
      <w:r>
        <w:rPr>
          <w:color w:val="221F1F"/>
        </w:rPr>
        <w:t>di</w:t>
      </w:r>
      <w:r>
        <w:rPr>
          <w:color w:val="221F1F"/>
          <w:spacing w:val="-5"/>
        </w:rPr>
        <w:t xml:space="preserve"> </w:t>
      </w:r>
      <w:r>
        <w:rPr>
          <w:color w:val="221F1F"/>
        </w:rPr>
        <w:t>cui</w:t>
      </w:r>
      <w:r>
        <w:rPr>
          <w:color w:val="221F1F"/>
          <w:spacing w:val="-3"/>
        </w:rPr>
        <w:t xml:space="preserve"> </w:t>
      </w:r>
      <w:r>
        <w:rPr>
          <w:color w:val="221F1F"/>
        </w:rPr>
        <w:t>alla</w:t>
      </w:r>
      <w:r>
        <w:rPr>
          <w:color w:val="221F1F"/>
          <w:spacing w:val="-4"/>
        </w:rPr>
        <w:t xml:space="preserve"> </w:t>
      </w:r>
      <w:r>
        <w:rPr>
          <w:color w:val="221F1F"/>
        </w:rPr>
        <w:t>legge</w:t>
      </w:r>
      <w:r>
        <w:rPr>
          <w:color w:val="221F1F"/>
          <w:spacing w:val="-4"/>
        </w:rPr>
        <w:t xml:space="preserve"> </w:t>
      </w:r>
      <w:r>
        <w:rPr>
          <w:color w:val="221F1F"/>
        </w:rPr>
        <w:t>12</w:t>
      </w:r>
      <w:r>
        <w:rPr>
          <w:color w:val="221F1F"/>
          <w:spacing w:val="-4"/>
        </w:rPr>
        <w:t xml:space="preserve"> </w:t>
      </w:r>
      <w:r>
        <w:rPr>
          <w:color w:val="221F1F"/>
        </w:rPr>
        <w:t>marzo</w:t>
      </w:r>
      <w:r>
        <w:rPr>
          <w:color w:val="221F1F"/>
          <w:spacing w:val="-4"/>
        </w:rPr>
        <w:t xml:space="preserve"> </w:t>
      </w:r>
      <w:r>
        <w:rPr>
          <w:color w:val="221F1F"/>
        </w:rPr>
        <w:t>1999,</w:t>
      </w:r>
      <w:r>
        <w:rPr>
          <w:color w:val="221F1F"/>
          <w:spacing w:val="-5"/>
        </w:rPr>
        <w:t xml:space="preserve"> </w:t>
      </w:r>
      <w:r>
        <w:rPr>
          <w:color w:val="221F1F"/>
        </w:rPr>
        <w:t>n.</w:t>
      </w:r>
      <w:r>
        <w:rPr>
          <w:color w:val="221F1F"/>
          <w:spacing w:val="-4"/>
        </w:rPr>
        <w:t xml:space="preserve"> </w:t>
      </w:r>
      <w:r>
        <w:rPr>
          <w:color w:val="221F1F"/>
        </w:rPr>
        <w:t>68,</w:t>
      </w:r>
      <w:r>
        <w:rPr>
          <w:color w:val="221F1F"/>
          <w:spacing w:val="-5"/>
        </w:rPr>
        <w:t xml:space="preserve"> </w:t>
      </w:r>
      <w:r>
        <w:rPr>
          <w:color w:val="221F1F"/>
        </w:rPr>
        <w:t>oltre</w:t>
      </w:r>
      <w:r>
        <w:rPr>
          <w:color w:val="221F1F"/>
          <w:spacing w:val="-4"/>
        </w:rPr>
        <w:t xml:space="preserve"> </w:t>
      </w:r>
      <w:r>
        <w:rPr>
          <w:color w:val="221F1F"/>
        </w:rPr>
        <w:t>che</w:t>
      </w:r>
      <w:r>
        <w:rPr>
          <w:color w:val="221F1F"/>
          <w:spacing w:val="-4"/>
        </w:rPr>
        <w:t xml:space="preserve"> </w:t>
      </w:r>
      <w:r>
        <w:rPr>
          <w:color w:val="221F1F"/>
        </w:rPr>
        <w:t>ai</w:t>
      </w:r>
      <w:r>
        <w:rPr>
          <w:color w:val="221F1F"/>
          <w:spacing w:val="-3"/>
        </w:rPr>
        <w:t xml:space="preserve"> </w:t>
      </w:r>
      <w:r>
        <w:rPr>
          <w:color w:val="221F1F"/>
        </w:rPr>
        <w:t>sensi</w:t>
      </w:r>
      <w:r>
        <w:rPr>
          <w:color w:val="221F1F"/>
          <w:spacing w:val="-3"/>
        </w:rPr>
        <w:t xml:space="preserve"> </w:t>
      </w:r>
      <w:r>
        <w:rPr>
          <w:color w:val="221F1F"/>
        </w:rPr>
        <w:t>dell’art.</w:t>
      </w:r>
      <w:r>
        <w:rPr>
          <w:color w:val="221F1F"/>
          <w:spacing w:val="-4"/>
        </w:rPr>
        <w:t xml:space="preserve"> </w:t>
      </w:r>
      <w:r>
        <w:rPr>
          <w:color w:val="221F1F"/>
        </w:rPr>
        <w:t>94,</w:t>
      </w:r>
      <w:r>
        <w:rPr>
          <w:color w:val="221F1F"/>
          <w:spacing w:val="-4"/>
        </w:rPr>
        <w:t xml:space="preserve"> </w:t>
      </w:r>
      <w:r>
        <w:rPr>
          <w:color w:val="221F1F"/>
        </w:rPr>
        <w:t>comma</w:t>
      </w:r>
      <w:r>
        <w:rPr>
          <w:color w:val="221F1F"/>
          <w:spacing w:val="-5"/>
        </w:rPr>
        <w:t xml:space="preserve"> </w:t>
      </w:r>
      <w:r>
        <w:rPr>
          <w:color w:val="221F1F"/>
        </w:rPr>
        <w:t>5,</w:t>
      </w:r>
      <w:r>
        <w:rPr>
          <w:color w:val="221F1F"/>
          <w:spacing w:val="-4"/>
        </w:rPr>
        <w:t xml:space="preserve"> </w:t>
      </w:r>
      <w:r>
        <w:rPr>
          <w:color w:val="221F1F"/>
        </w:rPr>
        <w:t>lettera</w:t>
      </w:r>
      <w:r>
        <w:rPr>
          <w:color w:val="221F1F"/>
          <w:spacing w:val="-5"/>
        </w:rPr>
        <w:t xml:space="preserve"> </w:t>
      </w:r>
      <w:r>
        <w:rPr>
          <w:color w:val="221F1F"/>
        </w:rPr>
        <w:t>b),</w:t>
      </w:r>
      <w:r>
        <w:rPr>
          <w:color w:val="221F1F"/>
          <w:spacing w:val="-5"/>
        </w:rPr>
        <w:t xml:space="preserve"> </w:t>
      </w:r>
      <w:r>
        <w:rPr>
          <w:color w:val="221F1F"/>
        </w:rPr>
        <w:t xml:space="preserve">del </w:t>
      </w:r>
      <w:r>
        <w:rPr>
          <w:color w:val="221F1F"/>
          <w:spacing w:val="-2"/>
        </w:rPr>
        <w:t>Codice.</w:t>
      </w:r>
    </w:p>
    <w:p w14:paraId="7F61F3C9" w14:textId="77777777" w:rsidR="00EF4D3F" w:rsidRDefault="00EF4D3F" w:rsidP="00EF4D3F">
      <w:pPr>
        <w:pStyle w:val="Corpotesto"/>
        <w:spacing w:before="275"/>
        <w:ind w:left="0"/>
      </w:pPr>
      <w:r>
        <w:rPr>
          <w:color w:val="221F1F"/>
        </w:rPr>
        <w:t xml:space="preserve">Sono esclusi dalla procedura gli operatori economici che occupano </w:t>
      </w:r>
      <w:r>
        <w:rPr>
          <w:b/>
          <w:color w:val="221F1F"/>
        </w:rPr>
        <w:t>oltre</w:t>
      </w:r>
      <w:r>
        <w:rPr>
          <w:color w:val="221F1F"/>
        </w:rPr>
        <w:t xml:space="preserve"> </w:t>
      </w:r>
      <w:r>
        <w:rPr>
          <w:b/>
          <w:color w:val="221F1F"/>
        </w:rPr>
        <w:t>cinquanta</w:t>
      </w:r>
      <w:r>
        <w:rPr>
          <w:color w:val="221F1F"/>
        </w:rPr>
        <w:t xml:space="preserve"> </w:t>
      </w:r>
      <w:r>
        <w:rPr>
          <w:b/>
          <w:color w:val="221F1F"/>
        </w:rPr>
        <w:t>dipendenti,</w:t>
      </w:r>
      <w:r>
        <w:rPr>
          <w:color w:val="221F1F"/>
        </w:rPr>
        <w:t xml:space="preserve"> che non consegnano, copia dell'ultimo rapporto periodico sulla situazione del personale maschile e femminile redatto ai sensi dell’articolo 46, decreto legislativo n. 198 del 2006,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p>
    <w:p w14:paraId="6BD2561C" w14:textId="77777777" w:rsidR="00EF4D3F" w:rsidRDefault="00EF4D3F" w:rsidP="00EF4D3F">
      <w:pPr>
        <w:pStyle w:val="Corpotesto"/>
        <w:ind w:left="0"/>
      </w:pPr>
      <w:r>
        <w:rPr>
          <w:color w:val="221F1F"/>
        </w:rPr>
        <w:t xml:space="preserve">Sono esclusi dalla procedura gli operatori economici che occupano un numero di </w:t>
      </w:r>
      <w:r>
        <w:rPr>
          <w:b/>
          <w:color w:val="221F1F"/>
        </w:rPr>
        <w:t>dipendenti</w:t>
      </w:r>
      <w:r>
        <w:rPr>
          <w:color w:val="221F1F"/>
        </w:rPr>
        <w:t xml:space="preserve"> </w:t>
      </w:r>
      <w:r>
        <w:rPr>
          <w:b/>
          <w:color w:val="221F1F"/>
        </w:rPr>
        <w:t>pari</w:t>
      </w:r>
      <w:r>
        <w:rPr>
          <w:color w:val="221F1F"/>
        </w:rPr>
        <w:t xml:space="preserve"> </w:t>
      </w:r>
      <w:r>
        <w:rPr>
          <w:b/>
          <w:color w:val="221F1F"/>
        </w:rPr>
        <w:t>o</w:t>
      </w:r>
      <w:r>
        <w:rPr>
          <w:color w:val="221F1F"/>
        </w:rPr>
        <w:t xml:space="preserve"> </w:t>
      </w:r>
      <w:r>
        <w:rPr>
          <w:b/>
          <w:color w:val="221F1F"/>
        </w:rPr>
        <w:t>superiore</w:t>
      </w:r>
      <w:r>
        <w:rPr>
          <w:color w:val="221F1F"/>
        </w:rPr>
        <w:t xml:space="preserve"> </w:t>
      </w:r>
      <w:r>
        <w:rPr>
          <w:b/>
          <w:color w:val="221F1F"/>
        </w:rPr>
        <w:t>a</w:t>
      </w:r>
      <w:r>
        <w:rPr>
          <w:color w:val="221F1F"/>
        </w:rPr>
        <w:t xml:space="preserve"> </w:t>
      </w:r>
      <w:r>
        <w:rPr>
          <w:b/>
          <w:color w:val="221F1F"/>
        </w:rPr>
        <w:t>quindici</w:t>
      </w:r>
      <w:r>
        <w:rPr>
          <w:color w:val="221F1F"/>
        </w:rPr>
        <w:t xml:space="preserve"> </w:t>
      </w:r>
      <w:r>
        <w:rPr>
          <w:b/>
          <w:color w:val="221F1F"/>
        </w:rPr>
        <w:t>e</w:t>
      </w:r>
      <w:r>
        <w:rPr>
          <w:color w:val="221F1F"/>
        </w:rPr>
        <w:t xml:space="preserve"> </w:t>
      </w:r>
      <w:r>
        <w:rPr>
          <w:b/>
          <w:color w:val="221F1F"/>
        </w:rPr>
        <w:t>non</w:t>
      </w:r>
      <w:r>
        <w:rPr>
          <w:color w:val="221F1F"/>
        </w:rPr>
        <w:t xml:space="preserve"> </w:t>
      </w:r>
      <w:r>
        <w:rPr>
          <w:b/>
          <w:color w:val="221F1F"/>
        </w:rPr>
        <w:t>superiore</w:t>
      </w:r>
      <w:r>
        <w:rPr>
          <w:color w:val="221F1F"/>
        </w:rPr>
        <w:t xml:space="preserve"> </w:t>
      </w:r>
      <w:r>
        <w:rPr>
          <w:b/>
          <w:color w:val="221F1F"/>
        </w:rPr>
        <w:t>a</w:t>
      </w:r>
      <w:r>
        <w:rPr>
          <w:color w:val="221F1F"/>
        </w:rPr>
        <w:t xml:space="preserve"> </w:t>
      </w:r>
      <w:r>
        <w:rPr>
          <w:b/>
          <w:color w:val="221F1F"/>
        </w:rPr>
        <w:t>cinquanta</w:t>
      </w:r>
      <w:r>
        <w:rPr>
          <w:color w:val="221F1F"/>
        </w:rPr>
        <w:t>, che nei dodici mesi precedenti al termine di presentazione</w:t>
      </w:r>
      <w:r>
        <w:rPr>
          <w:color w:val="221F1F"/>
          <w:spacing w:val="-13"/>
        </w:rPr>
        <w:t xml:space="preserve"> </w:t>
      </w:r>
      <w:r>
        <w:rPr>
          <w:color w:val="221F1F"/>
        </w:rPr>
        <w:t>dell’offerta</w:t>
      </w:r>
      <w:r>
        <w:rPr>
          <w:color w:val="221F1F"/>
          <w:spacing w:val="-10"/>
        </w:rPr>
        <w:t xml:space="preserve"> </w:t>
      </w:r>
      <w:r>
        <w:rPr>
          <w:color w:val="221F1F"/>
        </w:rPr>
        <w:t>hanno</w:t>
      </w:r>
      <w:r>
        <w:rPr>
          <w:color w:val="221F1F"/>
          <w:spacing w:val="-12"/>
        </w:rPr>
        <w:t xml:space="preserve"> </w:t>
      </w:r>
      <w:r>
        <w:rPr>
          <w:color w:val="221F1F"/>
        </w:rPr>
        <w:t>omesso</w:t>
      </w:r>
      <w:r>
        <w:rPr>
          <w:color w:val="221F1F"/>
          <w:spacing w:val="-12"/>
        </w:rPr>
        <w:t xml:space="preserve"> </w:t>
      </w:r>
      <w:r>
        <w:rPr>
          <w:color w:val="221F1F"/>
        </w:rPr>
        <w:t>di</w:t>
      </w:r>
      <w:r>
        <w:rPr>
          <w:color w:val="221F1F"/>
          <w:spacing w:val="-11"/>
        </w:rPr>
        <w:t xml:space="preserve"> </w:t>
      </w:r>
      <w:r>
        <w:rPr>
          <w:color w:val="221F1F"/>
        </w:rPr>
        <w:t>produrre</w:t>
      </w:r>
      <w:r>
        <w:rPr>
          <w:color w:val="221F1F"/>
          <w:spacing w:val="-13"/>
        </w:rPr>
        <w:t xml:space="preserve"> </w:t>
      </w:r>
      <w:r>
        <w:rPr>
          <w:color w:val="221F1F"/>
        </w:rPr>
        <w:t>alla</w:t>
      </w:r>
      <w:r>
        <w:rPr>
          <w:color w:val="221F1F"/>
          <w:spacing w:val="-13"/>
        </w:rPr>
        <w:t xml:space="preserve"> </w:t>
      </w:r>
      <w:r>
        <w:rPr>
          <w:color w:val="221F1F"/>
        </w:rPr>
        <w:t>stazione</w:t>
      </w:r>
      <w:r>
        <w:rPr>
          <w:color w:val="221F1F"/>
          <w:spacing w:val="-13"/>
        </w:rPr>
        <w:t xml:space="preserve"> </w:t>
      </w:r>
      <w:r>
        <w:rPr>
          <w:color w:val="221F1F"/>
        </w:rPr>
        <w:t>appaltante</w:t>
      </w:r>
      <w:r>
        <w:rPr>
          <w:color w:val="221F1F"/>
          <w:spacing w:val="-13"/>
        </w:rPr>
        <w:t xml:space="preserve"> </w:t>
      </w:r>
      <w:r>
        <w:rPr>
          <w:color w:val="221F1F"/>
        </w:rPr>
        <w:t>di</w:t>
      </w:r>
      <w:r>
        <w:rPr>
          <w:color w:val="221F1F"/>
          <w:spacing w:val="-11"/>
        </w:rPr>
        <w:t xml:space="preserve"> </w:t>
      </w:r>
      <w:r>
        <w:rPr>
          <w:color w:val="221F1F"/>
        </w:rPr>
        <w:t>un</w:t>
      </w:r>
      <w:r>
        <w:rPr>
          <w:color w:val="221F1F"/>
          <w:spacing w:val="-12"/>
        </w:rPr>
        <w:t xml:space="preserve"> </w:t>
      </w:r>
      <w:r>
        <w:rPr>
          <w:color w:val="221F1F"/>
        </w:rPr>
        <w:t>precedente</w:t>
      </w:r>
      <w:r>
        <w:rPr>
          <w:color w:val="221F1F"/>
          <w:spacing w:val="-13"/>
        </w:rPr>
        <w:t xml:space="preserve"> </w:t>
      </w:r>
      <w:r>
        <w:rPr>
          <w:color w:val="221F1F"/>
        </w:rPr>
        <w:t>contratto d’appalto,</w:t>
      </w:r>
      <w:r>
        <w:rPr>
          <w:color w:val="221F1F"/>
          <w:spacing w:val="-6"/>
        </w:rPr>
        <w:t xml:space="preserve"> </w:t>
      </w:r>
      <w:r>
        <w:rPr>
          <w:color w:val="221F1F"/>
        </w:rPr>
        <w:t>finanziato</w:t>
      </w:r>
      <w:r>
        <w:rPr>
          <w:color w:val="221F1F"/>
          <w:spacing w:val="-6"/>
        </w:rPr>
        <w:t xml:space="preserve"> </w:t>
      </w:r>
      <w:r>
        <w:rPr>
          <w:color w:val="221F1F"/>
        </w:rPr>
        <w:t>in</w:t>
      </w:r>
      <w:r>
        <w:rPr>
          <w:color w:val="221F1F"/>
          <w:spacing w:val="-6"/>
        </w:rPr>
        <w:t xml:space="preserve"> </w:t>
      </w:r>
      <w:r>
        <w:rPr>
          <w:color w:val="221F1F"/>
        </w:rPr>
        <w:t>tutto</w:t>
      </w:r>
      <w:r>
        <w:rPr>
          <w:color w:val="221F1F"/>
          <w:spacing w:val="-6"/>
        </w:rPr>
        <w:t xml:space="preserve"> </w:t>
      </w:r>
      <w:r>
        <w:rPr>
          <w:color w:val="221F1F"/>
        </w:rPr>
        <w:t>o</w:t>
      </w:r>
      <w:r>
        <w:rPr>
          <w:color w:val="221F1F"/>
          <w:spacing w:val="-6"/>
        </w:rPr>
        <w:t xml:space="preserve"> </w:t>
      </w:r>
      <w:r>
        <w:rPr>
          <w:color w:val="221F1F"/>
        </w:rPr>
        <w:t>in</w:t>
      </w:r>
      <w:r>
        <w:rPr>
          <w:color w:val="221F1F"/>
          <w:spacing w:val="-7"/>
        </w:rPr>
        <w:t xml:space="preserve"> </w:t>
      </w:r>
      <w:r>
        <w:rPr>
          <w:color w:val="221F1F"/>
        </w:rPr>
        <w:t>parte</w:t>
      </w:r>
      <w:r>
        <w:rPr>
          <w:color w:val="221F1F"/>
          <w:spacing w:val="-6"/>
        </w:rPr>
        <w:t xml:space="preserve"> </w:t>
      </w:r>
      <w:r>
        <w:rPr>
          <w:color w:val="221F1F"/>
        </w:rPr>
        <w:t>con</w:t>
      </w:r>
      <w:r>
        <w:rPr>
          <w:color w:val="221F1F"/>
          <w:spacing w:val="-6"/>
        </w:rPr>
        <w:t xml:space="preserve"> </w:t>
      </w:r>
      <w:r>
        <w:rPr>
          <w:color w:val="221F1F"/>
        </w:rPr>
        <w:t>i</w:t>
      </w:r>
      <w:r>
        <w:rPr>
          <w:color w:val="221F1F"/>
          <w:spacing w:val="-5"/>
        </w:rPr>
        <w:t xml:space="preserve"> </w:t>
      </w:r>
      <w:r>
        <w:rPr>
          <w:color w:val="221F1F"/>
        </w:rPr>
        <w:t>fondi</w:t>
      </w:r>
      <w:r>
        <w:rPr>
          <w:color w:val="221F1F"/>
          <w:spacing w:val="-7"/>
        </w:rPr>
        <w:t xml:space="preserve"> </w:t>
      </w:r>
      <w:r>
        <w:rPr>
          <w:color w:val="221F1F"/>
        </w:rPr>
        <w:t>del</w:t>
      </w:r>
      <w:r>
        <w:rPr>
          <w:color w:val="221F1F"/>
          <w:spacing w:val="-5"/>
        </w:rPr>
        <w:t xml:space="preserve"> </w:t>
      </w:r>
      <w:r>
        <w:rPr>
          <w:color w:val="221F1F"/>
        </w:rPr>
        <w:t>PNRR</w:t>
      </w:r>
      <w:r>
        <w:rPr>
          <w:color w:val="221F1F"/>
          <w:spacing w:val="-7"/>
        </w:rPr>
        <w:t xml:space="preserve"> </w:t>
      </w:r>
      <w:r>
        <w:rPr>
          <w:color w:val="221F1F"/>
        </w:rPr>
        <w:t>o</w:t>
      </w:r>
      <w:r>
        <w:rPr>
          <w:color w:val="221F1F"/>
          <w:spacing w:val="-6"/>
        </w:rPr>
        <w:t xml:space="preserve"> </w:t>
      </w:r>
      <w:r>
        <w:rPr>
          <w:color w:val="221F1F"/>
        </w:rPr>
        <w:t>del</w:t>
      </w:r>
      <w:r>
        <w:rPr>
          <w:color w:val="221F1F"/>
          <w:spacing w:val="-7"/>
        </w:rPr>
        <w:t xml:space="preserve"> </w:t>
      </w:r>
      <w:r>
        <w:rPr>
          <w:color w:val="221F1F"/>
        </w:rPr>
        <w:t>PNC,</w:t>
      </w:r>
      <w:r>
        <w:rPr>
          <w:color w:val="221F1F"/>
          <w:spacing w:val="-6"/>
        </w:rPr>
        <w:t xml:space="preserve"> </w:t>
      </w:r>
      <w:r>
        <w:rPr>
          <w:color w:val="221F1F"/>
        </w:rPr>
        <w:t>la</w:t>
      </w:r>
      <w:r>
        <w:rPr>
          <w:color w:val="221F1F"/>
          <w:spacing w:val="-8"/>
        </w:rPr>
        <w:t xml:space="preserve"> </w:t>
      </w:r>
      <w:r>
        <w:rPr>
          <w:color w:val="221F1F"/>
        </w:rPr>
        <w:t>relazione</w:t>
      </w:r>
      <w:r>
        <w:rPr>
          <w:color w:val="221F1F"/>
          <w:spacing w:val="-6"/>
        </w:rPr>
        <w:t xml:space="preserve"> </w:t>
      </w:r>
      <w:r>
        <w:rPr>
          <w:color w:val="221F1F"/>
        </w:rPr>
        <w:t>di</w:t>
      </w:r>
      <w:r>
        <w:rPr>
          <w:color w:val="221F1F"/>
          <w:spacing w:val="-5"/>
        </w:rPr>
        <w:t xml:space="preserve"> </w:t>
      </w:r>
      <w:r>
        <w:rPr>
          <w:color w:val="221F1F"/>
        </w:rPr>
        <w:t>cui</w:t>
      </w:r>
      <w:r>
        <w:rPr>
          <w:color w:val="221F1F"/>
          <w:spacing w:val="-5"/>
        </w:rPr>
        <w:t xml:space="preserve"> </w:t>
      </w:r>
      <w:r>
        <w:rPr>
          <w:color w:val="221F1F"/>
        </w:rPr>
        <w:t>all’articolo 47, comma 3 del decreto legge n. 77 del 2021</w:t>
      </w:r>
    </w:p>
    <w:p w14:paraId="2DF7540C" w14:textId="77777777" w:rsidR="004148E8" w:rsidRPr="006477F3" w:rsidRDefault="004148E8" w:rsidP="004148E8">
      <w:pPr>
        <w:spacing w:line="276" w:lineRule="auto"/>
        <w:jc w:val="both"/>
        <w:rPr>
          <w:rFonts w:asciiTheme="majorHAnsi" w:hAnsiTheme="majorHAnsi" w:cstheme="majorHAnsi"/>
          <w:bCs/>
          <w:iCs/>
        </w:rPr>
      </w:pPr>
    </w:p>
    <w:p w14:paraId="20D9824B" w14:textId="6949DFC4" w:rsidR="004148E8" w:rsidRPr="006477F3" w:rsidRDefault="004148E8" w:rsidP="004148E8">
      <w:pPr>
        <w:spacing w:line="276" w:lineRule="auto"/>
        <w:jc w:val="both"/>
        <w:rPr>
          <w:rFonts w:asciiTheme="majorHAnsi" w:hAnsiTheme="majorHAnsi" w:cstheme="majorHAnsi"/>
          <w:b/>
          <w:iCs/>
        </w:rPr>
      </w:pPr>
      <w:r w:rsidRPr="006477F3">
        <w:rPr>
          <w:rFonts w:asciiTheme="majorHAnsi" w:hAnsiTheme="majorHAnsi" w:cstheme="majorHAnsi"/>
          <w:b/>
          <w:iCs/>
        </w:rPr>
        <w:t>6. REQUISITI</w:t>
      </w:r>
      <w:r w:rsidR="00F46C90">
        <w:rPr>
          <w:rFonts w:asciiTheme="majorHAnsi" w:hAnsiTheme="majorHAnsi" w:cstheme="majorHAnsi"/>
          <w:b/>
          <w:iCs/>
        </w:rPr>
        <w:t xml:space="preserve"> DI ORDINE </w:t>
      </w:r>
      <w:r w:rsidRPr="006477F3">
        <w:rPr>
          <w:rFonts w:asciiTheme="majorHAnsi" w:hAnsiTheme="majorHAnsi" w:cstheme="majorHAnsi"/>
          <w:b/>
          <w:iCs/>
        </w:rPr>
        <w:t>SPECIAL</w:t>
      </w:r>
      <w:r w:rsidR="00F46C90">
        <w:rPr>
          <w:rFonts w:asciiTheme="majorHAnsi" w:hAnsiTheme="majorHAnsi" w:cstheme="majorHAnsi"/>
          <w:b/>
          <w:iCs/>
        </w:rPr>
        <w:t>E</w:t>
      </w:r>
      <w:r w:rsidRPr="006477F3">
        <w:rPr>
          <w:rFonts w:asciiTheme="majorHAnsi" w:hAnsiTheme="majorHAnsi" w:cstheme="majorHAnsi"/>
          <w:b/>
          <w:iCs/>
        </w:rPr>
        <w:t xml:space="preserve"> E MEZZI DI PROVA</w:t>
      </w:r>
    </w:p>
    <w:p w14:paraId="40F8D836" w14:textId="77777777" w:rsidR="004148E8" w:rsidRPr="006477F3" w:rsidRDefault="004148E8" w:rsidP="004148E8">
      <w:pPr>
        <w:pStyle w:val="Paragrafoelenco"/>
        <w:spacing w:line="276" w:lineRule="auto"/>
        <w:ind w:left="0"/>
        <w:jc w:val="both"/>
        <w:rPr>
          <w:rFonts w:asciiTheme="majorHAnsi" w:hAnsiTheme="majorHAnsi" w:cstheme="majorHAnsi"/>
          <w:bCs/>
          <w:iCs/>
        </w:rPr>
      </w:pPr>
      <w:r w:rsidRPr="006477F3">
        <w:rPr>
          <w:rFonts w:asciiTheme="majorHAnsi" w:hAnsiTheme="majorHAnsi" w:cstheme="majorHAnsi"/>
          <w:bCs/>
          <w:iCs/>
        </w:rPr>
        <w:t>I concorrenti devono possedere, a pena di esclusione, i requisiti previsti nei commi seguenti.</w:t>
      </w:r>
    </w:p>
    <w:p w14:paraId="258B73CC" w14:textId="0B97EB72" w:rsidR="004148E8" w:rsidRPr="006477F3" w:rsidRDefault="004148E8" w:rsidP="004148E8">
      <w:pPr>
        <w:pStyle w:val="Paragrafoelenco"/>
        <w:spacing w:line="276" w:lineRule="auto"/>
        <w:ind w:left="0"/>
        <w:jc w:val="both"/>
        <w:rPr>
          <w:rFonts w:asciiTheme="majorHAnsi" w:hAnsiTheme="majorHAnsi" w:cstheme="majorHAnsi"/>
          <w:bCs/>
          <w:iCs/>
        </w:rPr>
      </w:pPr>
      <w:r w:rsidRPr="006477F3">
        <w:rPr>
          <w:rFonts w:asciiTheme="majorHAnsi" w:hAnsiTheme="majorHAnsi" w:cstheme="majorHAnsi"/>
          <w:bCs/>
          <w:iCs/>
        </w:rPr>
        <w:t>La stazione appaltante verifica il possesso dei requisiti di ordine speciale anche accedendo al fascicolo virtuale dell’operatore economico (di seguito: FVOE 2.0).</w:t>
      </w:r>
    </w:p>
    <w:p w14:paraId="5E7BA7F7" w14:textId="77777777" w:rsidR="00401B90" w:rsidRPr="006477F3" w:rsidRDefault="00401B90" w:rsidP="00DB09C5">
      <w:pPr>
        <w:pStyle w:val="Paragrafoelenco"/>
        <w:spacing w:line="276" w:lineRule="auto"/>
        <w:ind w:left="0"/>
        <w:jc w:val="both"/>
        <w:rPr>
          <w:rFonts w:asciiTheme="majorHAnsi" w:hAnsiTheme="majorHAnsi" w:cstheme="majorHAnsi"/>
          <w:bCs/>
          <w:iCs/>
        </w:rPr>
      </w:pPr>
    </w:p>
    <w:p w14:paraId="000299F0" w14:textId="2564EFB8" w:rsidR="000533A8" w:rsidRPr="006477F3" w:rsidRDefault="004B0C29" w:rsidP="00DB09C5">
      <w:pPr>
        <w:pBdr>
          <w:top w:val="nil"/>
          <w:left w:val="nil"/>
          <w:bottom w:val="nil"/>
          <w:right w:val="nil"/>
          <w:between w:val="nil"/>
        </w:pBdr>
        <w:spacing w:line="276" w:lineRule="auto"/>
        <w:jc w:val="both"/>
        <w:rPr>
          <w:rFonts w:asciiTheme="majorHAnsi" w:eastAsia="Garamond" w:hAnsiTheme="majorHAnsi" w:cstheme="majorHAnsi"/>
          <w:color w:val="000000"/>
        </w:rPr>
      </w:pPr>
      <w:r w:rsidRPr="006477F3">
        <w:rPr>
          <w:rFonts w:asciiTheme="majorHAnsi" w:eastAsia="Garamond" w:hAnsiTheme="majorHAnsi" w:cstheme="majorHAnsi"/>
          <w:color w:val="000000"/>
        </w:rPr>
        <w:lastRenderedPageBreak/>
        <w:t>6</w:t>
      </w:r>
      <w:r w:rsidR="00401B90" w:rsidRPr="006477F3">
        <w:rPr>
          <w:rFonts w:asciiTheme="majorHAnsi" w:eastAsia="Garamond" w:hAnsiTheme="majorHAnsi" w:cstheme="majorHAnsi"/>
          <w:color w:val="000000"/>
        </w:rPr>
        <w:t xml:space="preserve">.1 </w:t>
      </w:r>
      <w:r w:rsidR="000533A8" w:rsidRPr="006477F3">
        <w:rPr>
          <w:rFonts w:asciiTheme="majorHAnsi" w:eastAsia="Garamond" w:hAnsiTheme="majorHAnsi" w:cstheme="majorHAnsi"/>
          <w:color w:val="000000"/>
        </w:rPr>
        <w:t>REQUISITI DI IDONEITA’ PROFESSIONALE</w:t>
      </w:r>
    </w:p>
    <w:p w14:paraId="7B4295BD" w14:textId="2E133DFE" w:rsidR="004148E8" w:rsidRPr="006477F3" w:rsidRDefault="004148E8" w:rsidP="00DB09C5">
      <w:pPr>
        <w:pBdr>
          <w:top w:val="nil"/>
          <w:left w:val="nil"/>
          <w:bottom w:val="nil"/>
          <w:right w:val="nil"/>
          <w:between w:val="nil"/>
        </w:pBdr>
        <w:spacing w:line="276" w:lineRule="auto"/>
        <w:jc w:val="both"/>
        <w:rPr>
          <w:rFonts w:asciiTheme="majorHAnsi" w:eastAsia="Garamond" w:hAnsiTheme="majorHAnsi" w:cstheme="majorHAnsi"/>
          <w:color w:val="000000"/>
        </w:rPr>
      </w:pPr>
      <w:r w:rsidRPr="006477F3">
        <w:rPr>
          <w:rFonts w:asciiTheme="majorHAnsi" w:eastAsia="Garamond" w:hAnsiTheme="majorHAnsi" w:cstheme="majorHAnsi"/>
          <w:color w:val="000000"/>
        </w:rPr>
        <w:t>Costituiscono requisiti di idoneità:</w:t>
      </w:r>
    </w:p>
    <w:p w14:paraId="47C49D4E" w14:textId="1A81F77B" w:rsidR="000533A8" w:rsidRPr="006477F3" w:rsidRDefault="000533A8" w:rsidP="00AC7153">
      <w:pPr>
        <w:pStyle w:val="Paragrafoelenco"/>
        <w:numPr>
          <w:ilvl w:val="0"/>
          <w:numId w:val="3"/>
        </w:numPr>
        <w:pBdr>
          <w:top w:val="nil"/>
          <w:left w:val="nil"/>
          <w:bottom w:val="nil"/>
          <w:right w:val="nil"/>
          <w:between w:val="nil"/>
        </w:pBdr>
        <w:spacing w:line="276" w:lineRule="auto"/>
        <w:jc w:val="both"/>
        <w:rPr>
          <w:rFonts w:asciiTheme="majorHAnsi" w:eastAsia="Garamond" w:hAnsiTheme="majorHAnsi" w:cstheme="majorHAnsi"/>
          <w:color w:val="000000"/>
        </w:rPr>
      </w:pPr>
      <w:r w:rsidRPr="006477F3">
        <w:rPr>
          <w:rFonts w:asciiTheme="majorHAnsi" w:eastAsia="Garamond" w:hAnsiTheme="majorHAnsi" w:cstheme="majorHAnsi"/>
          <w:color w:val="000000"/>
        </w:rPr>
        <w:t>Iscrizione nel Registro delle Imprese oppure nell’Albo delle Imprese artigiane oppure nel competente Ordine Professionale per attività pertinenti con quelle oggetto della presente procedura.</w:t>
      </w:r>
    </w:p>
    <w:p w14:paraId="1F1B805B" w14:textId="77777777" w:rsidR="000533A8" w:rsidRPr="006477F3" w:rsidRDefault="000533A8" w:rsidP="00DB09C5">
      <w:pPr>
        <w:pBdr>
          <w:top w:val="nil"/>
          <w:left w:val="nil"/>
          <w:bottom w:val="nil"/>
          <w:right w:val="nil"/>
          <w:between w:val="nil"/>
        </w:pBdr>
        <w:spacing w:line="276" w:lineRule="auto"/>
        <w:jc w:val="both"/>
        <w:rPr>
          <w:rFonts w:asciiTheme="majorHAnsi" w:eastAsia="Garamond" w:hAnsiTheme="majorHAnsi" w:cstheme="majorHAnsi"/>
          <w:color w:val="000000"/>
        </w:rPr>
      </w:pPr>
    </w:p>
    <w:p w14:paraId="5CD387C9" w14:textId="71AD4420" w:rsidR="000533A8" w:rsidRPr="006477F3" w:rsidRDefault="000533A8" w:rsidP="004148E8">
      <w:pPr>
        <w:pBdr>
          <w:top w:val="nil"/>
          <w:left w:val="nil"/>
          <w:bottom w:val="nil"/>
          <w:right w:val="nil"/>
          <w:between w:val="nil"/>
        </w:pBdr>
        <w:spacing w:line="276" w:lineRule="auto"/>
        <w:ind w:left="567"/>
        <w:jc w:val="both"/>
        <w:rPr>
          <w:rFonts w:asciiTheme="majorHAnsi" w:eastAsia="Garamond" w:hAnsiTheme="majorHAnsi" w:cstheme="majorHAnsi"/>
          <w:i/>
          <w:iCs/>
          <w:color w:val="000000"/>
        </w:rPr>
      </w:pPr>
      <w:r w:rsidRPr="006477F3">
        <w:rPr>
          <w:rFonts w:asciiTheme="majorHAnsi" w:eastAsia="Garamond" w:hAnsiTheme="majorHAnsi" w:cstheme="majorHAnsi"/>
          <w:i/>
          <w:iCs/>
          <w:color w:val="000000"/>
        </w:rPr>
        <w:t>(se ricorre)</w:t>
      </w:r>
    </w:p>
    <w:p w14:paraId="16EA134E" w14:textId="77777777" w:rsidR="000533A8" w:rsidRPr="006477F3" w:rsidRDefault="000533A8" w:rsidP="004148E8">
      <w:pPr>
        <w:pBdr>
          <w:top w:val="nil"/>
          <w:left w:val="nil"/>
          <w:bottom w:val="nil"/>
          <w:right w:val="nil"/>
          <w:between w:val="nil"/>
        </w:pBdr>
        <w:spacing w:line="276" w:lineRule="auto"/>
        <w:ind w:left="567"/>
        <w:jc w:val="both"/>
        <w:rPr>
          <w:rFonts w:asciiTheme="majorHAnsi" w:eastAsia="Garamond" w:hAnsiTheme="majorHAnsi" w:cstheme="majorHAnsi"/>
          <w:color w:val="000000"/>
        </w:rPr>
      </w:pPr>
    </w:p>
    <w:p w14:paraId="3A0D0AAD" w14:textId="7D17D8EE" w:rsidR="000533A8" w:rsidRPr="006477F3" w:rsidRDefault="000533A8" w:rsidP="004148E8">
      <w:pPr>
        <w:pBdr>
          <w:top w:val="nil"/>
          <w:left w:val="nil"/>
          <w:bottom w:val="nil"/>
          <w:right w:val="nil"/>
          <w:between w:val="nil"/>
        </w:pBdr>
        <w:spacing w:line="276" w:lineRule="auto"/>
        <w:ind w:left="567"/>
        <w:jc w:val="both"/>
        <w:rPr>
          <w:rFonts w:asciiTheme="majorHAnsi" w:eastAsia="Garamond" w:hAnsiTheme="majorHAnsi" w:cstheme="majorHAnsi"/>
          <w:color w:val="000000"/>
        </w:rPr>
      </w:pPr>
      <w:r w:rsidRPr="006477F3">
        <w:rPr>
          <w:rFonts w:asciiTheme="majorHAnsi" w:eastAsia="Garamond" w:hAnsiTheme="majorHAnsi" w:cstheme="majorHAnsi"/>
          <w:color w:val="000000"/>
        </w:rPr>
        <w:t>Iscrizione all’Albo delle Cooperative sociali, se trattasi di cooperativa sociale per attività coerenti con quelle oggetto della presente procedura.</w:t>
      </w:r>
    </w:p>
    <w:p w14:paraId="001C3342" w14:textId="77777777" w:rsidR="000533A8" w:rsidRPr="006477F3" w:rsidRDefault="000533A8" w:rsidP="004148E8">
      <w:pPr>
        <w:pBdr>
          <w:top w:val="nil"/>
          <w:left w:val="nil"/>
          <w:bottom w:val="nil"/>
          <w:right w:val="nil"/>
          <w:between w:val="nil"/>
        </w:pBdr>
        <w:spacing w:line="276" w:lineRule="auto"/>
        <w:ind w:left="567"/>
        <w:jc w:val="both"/>
        <w:rPr>
          <w:rFonts w:asciiTheme="majorHAnsi" w:eastAsia="Garamond" w:hAnsiTheme="majorHAnsi" w:cstheme="majorHAnsi"/>
          <w:color w:val="000000"/>
        </w:rPr>
      </w:pPr>
    </w:p>
    <w:p w14:paraId="215F74D4" w14:textId="338B3FD2" w:rsidR="000533A8" w:rsidRPr="006477F3" w:rsidRDefault="000533A8" w:rsidP="004148E8">
      <w:pPr>
        <w:pBdr>
          <w:top w:val="nil"/>
          <w:left w:val="nil"/>
          <w:bottom w:val="nil"/>
          <w:right w:val="nil"/>
          <w:between w:val="nil"/>
        </w:pBdr>
        <w:spacing w:line="276" w:lineRule="auto"/>
        <w:ind w:left="567"/>
        <w:jc w:val="both"/>
        <w:rPr>
          <w:rFonts w:asciiTheme="majorHAnsi" w:eastAsia="Garamond" w:hAnsiTheme="majorHAnsi" w:cstheme="majorHAnsi"/>
          <w:i/>
          <w:iCs/>
          <w:color w:val="000000"/>
        </w:rPr>
      </w:pPr>
      <w:r w:rsidRPr="006477F3">
        <w:rPr>
          <w:rFonts w:asciiTheme="majorHAnsi" w:eastAsia="Garamond" w:hAnsiTheme="majorHAnsi" w:cstheme="majorHAnsi"/>
          <w:i/>
          <w:iCs/>
          <w:color w:val="000000"/>
        </w:rPr>
        <w:t>(se ricorre)</w:t>
      </w:r>
    </w:p>
    <w:p w14:paraId="42F24985" w14:textId="77777777" w:rsidR="000533A8" w:rsidRPr="006477F3" w:rsidRDefault="000533A8" w:rsidP="004148E8">
      <w:pPr>
        <w:pBdr>
          <w:top w:val="nil"/>
          <w:left w:val="nil"/>
          <w:bottom w:val="nil"/>
          <w:right w:val="nil"/>
          <w:between w:val="nil"/>
        </w:pBdr>
        <w:spacing w:line="276" w:lineRule="auto"/>
        <w:ind w:left="567"/>
        <w:jc w:val="both"/>
        <w:rPr>
          <w:rFonts w:asciiTheme="majorHAnsi" w:eastAsia="Garamond" w:hAnsiTheme="majorHAnsi" w:cstheme="majorHAnsi"/>
          <w:color w:val="000000"/>
        </w:rPr>
      </w:pPr>
    </w:p>
    <w:p w14:paraId="6611A4A8" w14:textId="54E727E4" w:rsidR="000533A8" w:rsidRPr="006477F3" w:rsidRDefault="000533A8" w:rsidP="004148E8">
      <w:pPr>
        <w:pBdr>
          <w:top w:val="nil"/>
          <w:left w:val="nil"/>
          <w:bottom w:val="nil"/>
          <w:right w:val="nil"/>
          <w:between w:val="nil"/>
        </w:pBdr>
        <w:spacing w:line="276" w:lineRule="auto"/>
        <w:ind w:left="567"/>
        <w:jc w:val="both"/>
        <w:rPr>
          <w:rFonts w:asciiTheme="majorHAnsi" w:eastAsia="Garamond" w:hAnsiTheme="majorHAnsi" w:cstheme="majorHAnsi"/>
          <w:color w:val="000000"/>
        </w:rPr>
      </w:pPr>
      <w:r w:rsidRPr="006477F3">
        <w:rPr>
          <w:rFonts w:asciiTheme="majorHAnsi" w:eastAsia="Garamond" w:hAnsiTheme="majorHAnsi" w:cstheme="majorHAnsi"/>
          <w:color w:val="000000"/>
        </w:rPr>
        <w:t>Nel caso di altri soggetti iscrizione nei registri attualmente previsti dalla normativa di settore, unitamente alla previsione nello statuto e/o atto costitutivo della possibilità di svolgere le attività coerenti con quelle oggetto della presente procedura.</w:t>
      </w:r>
    </w:p>
    <w:p w14:paraId="00CA22BC" w14:textId="77777777" w:rsidR="00C71490" w:rsidRPr="006477F3" w:rsidRDefault="00C71490" w:rsidP="004148E8">
      <w:pPr>
        <w:pBdr>
          <w:top w:val="nil"/>
          <w:left w:val="nil"/>
          <w:bottom w:val="nil"/>
          <w:right w:val="nil"/>
          <w:between w:val="nil"/>
        </w:pBdr>
        <w:spacing w:line="276" w:lineRule="auto"/>
        <w:ind w:left="567"/>
        <w:jc w:val="both"/>
        <w:rPr>
          <w:rFonts w:asciiTheme="majorHAnsi" w:eastAsia="Garamond" w:hAnsiTheme="majorHAnsi" w:cstheme="majorHAnsi"/>
          <w:color w:val="000000"/>
        </w:rPr>
      </w:pPr>
    </w:p>
    <w:p w14:paraId="0A2C52D0" w14:textId="29B957F2" w:rsidR="000533A8" w:rsidRPr="006477F3" w:rsidRDefault="004B0C29" w:rsidP="00DB09C5">
      <w:pPr>
        <w:pBdr>
          <w:top w:val="nil"/>
          <w:left w:val="nil"/>
          <w:bottom w:val="nil"/>
          <w:right w:val="nil"/>
          <w:between w:val="nil"/>
        </w:pBdr>
        <w:spacing w:line="276" w:lineRule="auto"/>
        <w:jc w:val="both"/>
        <w:rPr>
          <w:rFonts w:asciiTheme="majorHAnsi" w:eastAsia="Garamond" w:hAnsiTheme="majorHAnsi" w:cstheme="majorHAnsi"/>
          <w:color w:val="000000"/>
        </w:rPr>
      </w:pPr>
      <w:r w:rsidRPr="006477F3">
        <w:rPr>
          <w:rFonts w:asciiTheme="majorHAnsi" w:eastAsia="Garamond" w:hAnsiTheme="majorHAnsi" w:cstheme="majorHAnsi"/>
          <w:color w:val="000000"/>
        </w:rPr>
        <w:t>6</w:t>
      </w:r>
      <w:r w:rsidR="00401B90" w:rsidRPr="006477F3">
        <w:rPr>
          <w:rFonts w:asciiTheme="majorHAnsi" w:eastAsia="Garamond" w:hAnsiTheme="majorHAnsi" w:cstheme="majorHAnsi"/>
          <w:color w:val="000000"/>
        </w:rPr>
        <w:t xml:space="preserve">.2 </w:t>
      </w:r>
      <w:r w:rsidR="000533A8" w:rsidRPr="006477F3">
        <w:rPr>
          <w:rFonts w:asciiTheme="majorHAnsi" w:eastAsia="Garamond" w:hAnsiTheme="majorHAnsi" w:cstheme="majorHAnsi"/>
          <w:color w:val="000000"/>
        </w:rPr>
        <w:t>REQUISITI DI CAPACITA’ ECONOMICA E FINANZIARIA</w:t>
      </w:r>
    </w:p>
    <w:p w14:paraId="199883C9" w14:textId="77777777" w:rsidR="000533A8" w:rsidRPr="006477F3" w:rsidRDefault="000533A8" w:rsidP="00DB09C5">
      <w:pPr>
        <w:autoSpaceDE w:val="0"/>
        <w:autoSpaceDN w:val="0"/>
        <w:adjustRightInd w:val="0"/>
        <w:spacing w:line="276" w:lineRule="auto"/>
        <w:jc w:val="both"/>
        <w:rPr>
          <w:rFonts w:asciiTheme="majorHAnsi" w:hAnsiTheme="majorHAnsi" w:cstheme="majorHAnsi"/>
          <w:color w:val="000000"/>
          <w:lang w:eastAsia="it-IT"/>
        </w:rPr>
      </w:pPr>
      <w:r w:rsidRPr="006477F3">
        <w:rPr>
          <w:rFonts w:asciiTheme="majorHAnsi" w:hAnsiTheme="majorHAnsi" w:cstheme="majorHAnsi"/>
          <w:color w:val="000000"/>
          <w:lang w:eastAsia="it-IT"/>
        </w:rPr>
        <w:t>Costituisce requisito di capacità economica e finanziaria:</w:t>
      </w:r>
    </w:p>
    <w:p w14:paraId="5A51E0A0" w14:textId="7FFB394B" w:rsidR="000533A8" w:rsidRPr="006477F3" w:rsidRDefault="000533A8" w:rsidP="00DB09C5">
      <w:pPr>
        <w:pBdr>
          <w:top w:val="nil"/>
          <w:left w:val="nil"/>
          <w:bottom w:val="nil"/>
          <w:right w:val="nil"/>
          <w:between w:val="nil"/>
        </w:pBdr>
        <w:spacing w:line="276" w:lineRule="auto"/>
        <w:jc w:val="both"/>
        <w:rPr>
          <w:rFonts w:asciiTheme="majorHAnsi" w:eastAsia="Garamond" w:hAnsiTheme="majorHAnsi" w:cstheme="majorHAnsi"/>
          <w:color w:val="000000"/>
        </w:rPr>
      </w:pPr>
      <w:r w:rsidRPr="006477F3">
        <w:rPr>
          <w:rFonts w:asciiTheme="majorHAnsi" w:hAnsiTheme="majorHAnsi" w:cstheme="majorHAnsi"/>
          <w:b/>
          <w:bCs/>
          <w:color w:val="000000"/>
          <w:lang w:eastAsia="it-IT"/>
        </w:rPr>
        <w:t>Fatturato globale</w:t>
      </w:r>
      <w:r w:rsidRPr="006477F3">
        <w:rPr>
          <w:rFonts w:asciiTheme="majorHAnsi" w:hAnsiTheme="majorHAnsi" w:cstheme="majorHAnsi"/>
          <w:color w:val="000000"/>
          <w:lang w:eastAsia="it-IT"/>
        </w:rPr>
        <w:t xml:space="preserve"> </w:t>
      </w:r>
      <w:r w:rsidRPr="006477F3">
        <w:rPr>
          <w:rFonts w:asciiTheme="majorHAnsi" w:hAnsiTheme="majorHAnsi" w:cstheme="majorHAnsi"/>
          <w:b/>
          <w:bCs/>
          <w:color w:val="000000"/>
          <w:lang w:eastAsia="it-IT"/>
        </w:rPr>
        <w:t>maturato nei migliori tre anni degli ultimi cinque anni</w:t>
      </w:r>
      <w:r w:rsidRPr="006477F3">
        <w:rPr>
          <w:rFonts w:asciiTheme="majorHAnsi" w:hAnsiTheme="majorHAnsi" w:cstheme="majorHAnsi"/>
          <w:color w:val="000000"/>
          <w:lang w:eastAsia="it-IT"/>
        </w:rPr>
        <w:t xml:space="preserve"> precedenti </w:t>
      </w:r>
      <w:r w:rsidRPr="006477F3">
        <w:rPr>
          <w:rFonts w:asciiTheme="majorHAnsi" w:hAnsiTheme="majorHAnsi" w:cstheme="majorHAnsi"/>
          <w:b/>
          <w:bCs/>
          <w:color w:val="000000"/>
          <w:lang w:eastAsia="it-IT"/>
        </w:rPr>
        <w:t xml:space="preserve">almeno pari € </w:t>
      </w:r>
      <w:r w:rsidR="00E45C80" w:rsidRPr="006477F3">
        <w:rPr>
          <w:rFonts w:asciiTheme="majorHAnsi" w:hAnsiTheme="majorHAnsi" w:cstheme="majorHAnsi"/>
          <w:b/>
          <w:bCs/>
          <w:color w:val="000000"/>
          <w:lang w:eastAsia="it-IT"/>
        </w:rPr>
        <w:t>700.000,00</w:t>
      </w:r>
      <w:r w:rsidRPr="006477F3">
        <w:rPr>
          <w:rFonts w:asciiTheme="majorHAnsi" w:hAnsiTheme="majorHAnsi" w:cstheme="majorHAnsi"/>
          <w:color w:val="000000"/>
          <w:lang w:eastAsia="it-IT"/>
        </w:rPr>
        <w:t xml:space="preserve"> IVA esclusa.</w:t>
      </w:r>
    </w:p>
    <w:p w14:paraId="6DDAA1E3" w14:textId="77777777" w:rsidR="000533A8" w:rsidRPr="006477F3" w:rsidRDefault="000533A8" w:rsidP="00DB09C5">
      <w:pPr>
        <w:pBdr>
          <w:top w:val="nil"/>
          <w:left w:val="nil"/>
          <w:bottom w:val="nil"/>
          <w:right w:val="nil"/>
          <w:between w:val="nil"/>
        </w:pBdr>
        <w:spacing w:line="276" w:lineRule="auto"/>
        <w:jc w:val="both"/>
        <w:rPr>
          <w:rFonts w:asciiTheme="majorHAnsi" w:eastAsia="Garamond" w:hAnsiTheme="majorHAnsi" w:cstheme="majorHAnsi"/>
          <w:bCs/>
          <w:color w:val="000000"/>
        </w:rPr>
      </w:pPr>
    </w:p>
    <w:p w14:paraId="3E277124" w14:textId="4751B2CF" w:rsidR="000533A8" w:rsidRPr="006477F3" w:rsidRDefault="004B0C29" w:rsidP="00DB09C5">
      <w:pPr>
        <w:pBdr>
          <w:top w:val="nil"/>
          <w:left w:val="nil"/>
          <w:bottom w:val="nil"/>
          <w:right w:val="nil"/>
          <w:between w:val="nil"/>
        </w:pBdr>
        <w:spacing w:line="276" w:lineRule="auto"/>
        <w:jc w:val="both"/>
        <w:rPr>
          <w:rFonts w:asciiTheme="majorHAnsi" w:eastAsia="Garamond" w:hAnsiTheme="majorHAnsi" w:cstheme="majorHAnsi"/>
          <w:bCs/>
          <w:color w:val="000000"/>
        </w:rPr>
      </w:pPr>
      <w:r w:rsidRPr="006477F3">
        <w:rPr>
          <w:rFonts w:asciiTheme="majorHAnsi" w:eastAsia="Microsoft YaHei UI" w:hAnsiTheme="majorHAnsi" w:cstheme="majorHAnsi"/>
          <w:bCs/>
          <w:lang w:eastAsia="it-IT"/>
        </w:rPr>
        <w:t>6</w:t>
      </w:r>
      <w:r w:rsidR="00401B90" w:rsidRPr="006477F3">
        <w:rPr>
          <w:rFonts w:asciiTheme="majorHAnsi" w:eastAsia="Microsoft YaHei UI" w:hAnsiTheme="majorHAnsi" w:cstheme="majorHAnsi"/>
          <w:bCs/>
          <w:lang w:eastAsia="it-IT"/>
        </w:rPr>
        <w:t xml:space="preserve">.3 </w:t>
      </w:r>
      <w:r w:rsidR="000533A8" w:rsidRPr="006477F3">
        <w:rPr>
          <w:rFonts w:asciiTheme="majorHAnsi" w:eastAsia="Microsoft YaHei UI" w:hAnsiTheme="majorHAnsi" w:cstheme="majorHAnsi"/>
          <w:bCs/>
          <w:lang w:eastAsia="it-IT"/>
        </w:rPr>
        <w:t>REQUISITI DI CAPACITÀ</w:t>
      </w:r>
      <w:r w:rsidR="000533A8" w:rsidRPr="006477F3">
        <w:rPr>
          <w:rFonts w:asciiTheme="majorHAnsi" w:eastAsia="Times New Roman" w:hAnsiTheme="majorHAnsi" w:cstheme="majorHAnsi"/>
          <w:bCs/>
          <w:lang w:eastAsia="it-IT"/>
        </w:rPr>
        <w:t xml:space="preserve"> TECNICO-PROFESSIONALE</w:t>
      </w:r>
    </w:p>
    <w:p w14:paraId="588AFE3B" w14:textId="77777777" w:rsidR="000533A8" w:rsidRPr="006477F3" w:rsidRDefault="000533A8" w:rsidP="00DB09C5">
      <w:pPr>
        <w:widowControl w:val="0"/>
        <w:autoSpaceDE w:val="0"/>
        <w:spacing w:line="276" w:lineRule="auto"/>
        <w:jc w:val="both"/>
        <w:rPr>
          <w:rFonts w:asciiTheme="majorHAnsi" w:eastAsia="Times New Roman" w:hAnsiTheme="majorHAnsi" w:cstheme="majorHAnsi"/>
          <w:bCs/>
          <w:lang w:eastAsia="it-IT"/>
        </w:rPr>
      </w:pPr>
      <w:r w:rsidRPr="006477F3">
        <w:rPr>
          <w:rFonts w:asciiTheme="majorHAnsi" w:eastAsia="Times New Roman" w:hAnsiTheme="majorHAnsi" w:cstheme="majorHAnsi"/>
          <w:bCs/>
          <w:lang w:eastAsia="it-IT"/>
        </w:rPr>
        <w:t>Costituisce requisito di capacità tecnica e professionale:</w:t>
      </w:r>
    </w:p>
    <w:p w14:paraId="659CE174" w14:textId="24DA90FB" w:rsidR="00774B26" w:rsidRDefault="000533A8" w:rsidP="00DB09C5">
      <w:pPr>
        <w:pStyle w:val="Nessunaspaziatura"/>
        <w:spacing w:line="276" w:lineRule="auto"/>
        <w:jc w:val="both"/>
        <w:rPr>
          <w:rFonts w:asciiTheme="majorHAnsi" w:hAnsiTheme="majorHAnsi" w:cstheme="majorHAnsi"/>
          <w:color w:val="000000"/>
          <w:lang w:eastAsia="it-IT"/>
        </w:rPr>
      </w:pPr>
      <w:r w:rsidRPr="006477F3">
        <w:rPr>
          <w:rFonts w:asciiTheme="majorHAnsi" w:hAnsiTheme="majorHAnsi" w:cstheme="majorHAnsi"/>
          <w:b/>
          <w:bCs/>
          <w:color w:val="000000"/>
          <w:lang w:eastAsia="it-IT"/>
        </w:rPr>
        <w:t xml:space="preserve">Esecuzione negli ultimi dieci anni di almeno n. </w:t>
      </w:r>
      <w:r w:rsidR="0033786A" w:rsidRPr="006477F3">
        <w:rPr>
          <w:rFonts w:asciiTheme="majorHAnsi" w:hAnsiTheme="majorHAnsi" w:cstheme="majorHAnsi"/>
          <w:b/>
          <w:bCs/>
          <w:color w:val="000000"/>
          <w:lang w:eastAsia="it-IT"/>
        </w:rPr>
        <w:t>2</w:t>
      </w:r>
      <w:r w:rsidRPr="006477F3">
        <w:rPr>
          <w:rFonts w:asciiTheme="majorHAnsi" w:hAnsiTheme="majorHAnsi" w:cstheme="majorHAnsi"/>
          <w:b/>
          <w:bCs/>
          <w:color w:val="000000"/>
          <w:lang w:eastAsia="it-IT"/>
        </w:rPr>
        <w:t xml:space="preserve"> contratti aventi servizi analoghi (gestione di asili nido)</w:t>
      </w:r>
      <w:r w:rsidRPr="006477F3">
        <w:rPr>
          <w:rFonts w:asciiTheme="majorHAnsi" w:hAnsiTheme="majorHAnsi" w:cstheme="majorHAnsi"/>
          <w:color w:val="000000"/>
          <w:lang w:eastAsia="it-IT"/>
        </w:rPr>
        <w:t xml:space="preserve">, resi a favore di enti pubblici o privati, </w:t>
      </w:r>
      <w:r w:rsidRPr="006477F3">
        <w:rPr>
          <w:rFonts w:asciiTheme="majorHAnsi" w:hAnsiTheme="majorHAnsi" w:cstheme="majorHAnsi"/>
          <w:b/>
          <w:bCs/>
          <w:color w:val="000000"/>
          <w:lang w:eastAsia="it-IT"/>
        </w:rPr>
        <w:t>di importo per ciascun contratto non inferiore a</w:t>
      </w:r>
      <w:r w:rsidRPr="006477F3">
        <w:rPr>
          <w:rFonts w:asciiTheme="majorHAnsi" w:hAnsiTheme="majorHAnsi" w:cstheme="majorHAnsi"/>
          <w:color w:val="000000"/>
          <w:lang w:eastAsia="it-IT"/>
        </w:rPr>
        <w:t xml:space="preserve"> </w:t>
      </w:r>
      <w:r w:rsidRPr="006477F3">
        <w:rPr>
          <w:rFonts w:asciiTheme="majorHAnsi" w:hAnsiTheme="majorHAnsi" w:cstheme="majorHAnsi"/>
          <w:b/>
          <w:bCs/>
          <w:color w:val="000000"/>
          <w:lang w:eastAsia="it-IT"/>
        </w:rPr>
        <w:t>€ 100.000,00</w:t>
      </w:r>
      <w:r w:rsidRPr="006477F3">
        <w:rPr>
          <w:rFonts w:asciiTheme="majorHAnsi" w:hAnsiTheme="majorHAnsi" w:cstheme="majorHAnsi"/>
          <w:color w:val="000000"/>
          <w:lang w:eastAsia="it-IT"/>
        </w:rPr>
        <w:t>, IVA esclusa.</w:t>
      </w:r>
    </w:p>
    <w:p w14:paraId="7F129F3A"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Ai fini della dimostrazione del presente requisito, è possibile utilizzare anche contratti non ancora conclusi entro tale data ovvero anche iniziati dopo tale data; in tali ipotesi sarà considerata la parte effettivamente e regolarmente svolta entro i termini di scadenza per la presentazione delle offerte.</w:t>
      </w:r>
    </w:p>
    <w:p w14:paraId="087380F0"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Per i contratti la cui esecuzione è iniziata prima del sopra indicato periodo (120 mesi), si considererà soltanto la parte effettivamente e regolarmente svolta nel periodo previsto dal requisito in parola fino al termine di scadenza per la presentazione delle offerte.</w:t>
      </w:r>
    </w:p>
    <w:p w14:paraId="52263D3F" w14:textId="24459CE5"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La comprova del requisito è fornita mediante:</w:t>
      </w:r>
    </w:p>
    <w:p w14:paraId="20086D5C" w14:textId="4A59912E" w:rsidR="00401B90" w:rsidRPr="006477F3" w:rsidRDefault="00401B90" w:rsidP="0069424C">
      <w:pPr>
        <w:pStyle w:val="Nessunaspaziatura"/>
        <w:numPr>
          <w:ilvl w:val="0"/>
          <w:numId w:val="11"/>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certificati</w:t>
      </w:r>
      <w:r w:rsidRPr="006477F3">
        <w:rPr>
          <w:rFonts w:asciiTheme="majorHAnsi" w:eastAsia="Times New Roman" w:hAnsiTheme="majorHAnsi" w:cstheme="majorHAnsi"/>
          <w:lang w:eastAsia="zh-CN"/>
        </w:rPr>
        <w:tab/>
        <w:t>rilasciati</w:t>
      </w:r>
      <w:r w:rsidRPr="006477F3">
        <w:rPr>
          <w:rFonts w:asciiTheme="majorHAnsi" w:eastAsia="Times New Roman" w:hAnsiTheme="majorHAnsi" w:cstheme="majorHAnsi"/>
          <w:lang w:eastAsia="zh-CN"/>
        </w:rPr>
        <w:tab/>
        <w:t>dall’amministrazione/ente</w:t>
      </w:r>
      <w:r w:rsidRPr="006477F3">
        <w:rPr>
          <w:rFonts w:asciiTheme="majorHAnsi" w:eastAsia="Times New Roman" w:hAnsiTheme="majorHAnsi" w:cstheme="majorHAnsi"/>
          <w:lang w:eastAsia="zh-CN"/>
        </w:rPr>
        <w:tab/>
        <w:t>contraente,</w:t>
      </w:r>
      <w:r w:rsidRPr="006477F3">
        <w:rPr>
          <w:rFonts w:asciiTheme="majorHAnsi" w:eastAsia="Times New Roman" w:hAnsiTheme="majorHAnsi" w:cstheme="majorHAnsi"/>
          <w:lang w:eastAsia="zh-CN"/>
        </w:rPr>
        <w:tab/>
        <w:t>con</w:t>
      </w:r>
      <w:r w:rsidR="004B0C29"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lang w:eastAsia="zh-CN"/>
        </w:rPr>
        <w:t>l’indicazione</w:t>
      </w:r>
      <w:r w:rsidRPr="006477F3">
        <w:rPr>
          <w:rFonts w:asciiTheme="majorHAnsi" w:eastAsia="Times New Roman" w:hAnsiTheme="majorHAnsi" w:cstheme="majorHAnsi"/>
          <w:lang w:eastAsia="zh-CN"/>
        </w:rPr>
        <w:tab/>
        <w:t>dell’oggetto, dell’importo e del periodo di esecuzione;</w:t>
      </w:r>
    </w:p>
    <w:p w14:paraId="7E58233B" w14:textId="68F85008" w:rsidR="00401B90" w:rsidRPr="006477F3" w:rsidRDefault="00401B90" w:rsidP="0069424C">
      <w:pPr>
        <w:pStyle w:val="Nessunaspaziatura"/>
        <w:numPr>
          <w:ilvl w:val="0"/>
          <w:numId w:val="11"/>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contratti stipulati con le amministrazioni pubbliche, completi di copia delle fatture quietanzate ovvero dei documenti bancari attestanti il pagamento delle stesse;</w:t>
      </w:r>
    </w:p>
    <w:p w14:paraId="164C9336" w14:textId="19233D1E" w:rsidR="00401B90" w:rsidRPr="006477F3" w:rsidRDefault="00401B90" w:rsidP="0069424C">
      <w:pPr>
        <w:pStyle w:val="Nessunaspaziatura"/>
        <w:numPr>
          <w:ilvl w:val="0"/>
          <w:numId w:val="11"/>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lastRenderedPageBreak/>
        <w:t>attestazioni rilasciate dal committente privato, con l’indicazione dell’oggetto, dell’importo e del periodo di esecuzione;</w:t>
      </w:r>
    </w:p>
    <w:p w14:paraId="12B82D00" w14:textId="77EC6530" w:rsidR="00401B90" w:rsidRPr="006477F3" w:rsidRDefault="00401B90" w:rsidP="0069424C">
      <w:pPr>
        <w:pStyle w:val="Nessunaspaziatura"/>
        <w:numPr>
          <w:ilvl w:val="0"/>
          <w:numId w:val="11"/>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contratti stipulati con privati, completi di copia delle fatture quietanzate ovvero dei documenti bancari attestanti il pagamento delle stesse.</w:t>
      </w:r>
    </w:p>
    <w:p w14:paraId="3EA31D2F"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In ogni caso, ed a prescindere alla tipologia di committenza, nel caso in cui i servizi (forniture) siano stati svolti in raggruppamento temporaneo con altri soggetti, ai fini del computo del valore delle relative prestazioni, dovrà essere documentata la quota parte realizzata dal soggetto che concorre alla presente procedura e solo questa parte potrà essere valutata ai fini del requisito richiesto.</w:t>
      </w:r>
    </w:p>
    <w:p w14:paraId="12A37928"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Tutti gli importi delle prestazioni di cui sopra cui si riferiscono i servizi svolti devono intendersi al netto di IVA.</w:t>
      </w:r>
    </w:p>
    <w:p w14:paraId="6B07988F" w14:textId="24F7BCD9" w:rsidR="00774B26" w:rsidRPr="006477F3" w:rsidRDefault="00774B26" w:rsidP="00401B90">
      <w:pPr>
        <w:pStyle w:val="Nessunaspaziatura"/>
        <w:spacing w:line="276" w:lineRule="auto"/>
        <w:jc w:val="both"/>
        <w:rPr>
          <w:rFonts w:asciiTheme="majorHAnsi" w:eastAsia="Times New Roman" w:hAnsiTheme="majorHAnsi" w:cstheme="majorHAnsi"/>
          <w:b/>
          <w:bCs/>
          <w:lang w:eastAsia="zh-CN"/>
        </w:rPr>
      </w:pPr>
    </w:p>
    <w:p w14:paraId="2F02D844" w14:textId="1C224D02"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6.4 INDICAZIONI PER RTI, CONSORZI ORDINARI, AGGREGAZIONI DI IMPRESE DI RETE, GEIE</w:t>
      </w:r>
    </w:p>
    <w:p w14:paraId="1B2F7F79"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 soggetti di cui all’articolo 65, comma 2, lettera e), f) g) e h) del Codice devono possedere i requisiti di ordine speciale nei termini di seguito indicati.</w:t>
      </w:r>
    </w:p>
    <w:p w14:paraId="083A0579"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Alle aggregazioni di retisti, ai consorzi ordinari ed ai GEIE si applica la disciplina prevista per i raggruppamenti temporanei.</w:t>
      </w:r>
    </w:p>
    <w:p w14:paraId="714B2ECF" w14:textId="77777777" w:rsidR="004B0C29" w:rsidRPr="006477F3" w:rsidRDefault="004B0C29" w:rsidP="00401B90">
      <w:pPr>
        <w:pStyle w:val="Nessunaspaziatura"/>
        <w:spacing w:line="276" w:lineRule="auto"/>
        <w:jc w:val="both"/>
        <w:rPr>
          <w:rFonts w:asciiTheme="majorHAnsi" w:eastAsia="Times New Roman" w:hAnsiTheme="majorHAnsi" w:cstheme="majorHAnsi"/>
          <w:lang w:eastAsia="zh-CN"/>
        </w:rPr>
      </w:pPr>
    </w:p>
    <w:p w14:paraId="34F0B57F" w14:textId="77777777" w:rsidR="00401B90" w:rsidRPr="006477F3" w:rsidRDefault="00401B90" w:rsidP="00401B90">
      <w:pPr>
        <w:pStyle w:val="Nessunaspaziatura"/>
        <w:spacing w:line="276" w:lineRule="auto"/>
        <w:jc w:val="both"/>
        <w:rPr>
          <w:rFonts w:asciiTheme="majorHAnsi" w:eastAsia="Times New Roman" w:hAnsiTheme="majorHAnsi" w:cstheme="majorHAnsi"/>
          <w:u w:val="single"/>
          <w:lang w:eastAsia="zh-CN"/>
        </w:rPr>
      </w:pPr>
      <w:r w:rsidRPr="006477F3">
        <w:rPr>
          <w:rFonts w:asciiTheme="majorHAnsi" w:eastAsia="Times New Roman" w:hAnsiTheme="majorHAnsi" w:cstheme="majorHAnsi"/>
          <w:u w:val="single"/>
          <w:lang w:eastAsia="zh-CN"/>
        </w:rPr>
        <w:t>Requisiti di idoneità professionale</w:t>
      </w:r>
    </w:p>
    <w:p w14:paraId="116F8801" w14:textId="45558FD9"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Il requisito relativo all’iscrizione nel Registro delle Imprese / Albo delle Imprese artigiane / Ordine professionale di cui al paragrafo 6.1. lettera a) deve essere posseduto in base alle prestazioni svolte:</w:t>
      </w:r>
    </w:p>
    <w:p w14:paraId="6FECFEFE" w14:textId="77777777" w:rsidR="00F46C90" w:rsidRDefault="00401B90" w:rsidP="0069424C">
      <w:pPr>
        <w:pStyle w:val="Nessunaspaziatura"/>
        <w:numPr>
          <w:ilvl w:val="0"/>
          <w:numId w:val="69"/>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da ciascun componente del raggruppamento/consorzio/GEIE anche da costituire, nonché dal GEIE medesimo;</w:t>
      </w:r>
    </w:p>
    <w:p w14:paraId="594F2C86" w14:textId="512ABEF8" w:rsidR="00401B90" w:rsidRPr="00F46C90" w:rsidRDefault="00401B90" w:rsidP="0069424C">
      <w:pPr>
        <w:pStyle w:val="Nessunaspaziatura"/>
        <w:numPr>
          <w:ilvl w:val="0"/>
          <w:numId w:val="69"/>
        </w:numPr>
        <w:spacing w:line="276" w:lineRule="auto"/>
        <w:jc w:val="both"/>
        <w:rPr>
          <w:rFonts w:asciiTheme="majorHAnsi" w:eastAsia="Times New Roman" w:hAnsiTheme="majorHAnsi" w:cstheme="majorHAnsi"/>
          <w:lang w:eastAsia="zh-CN"/>
        </w:rPr>
      </w:pPr>
      <w:r w:rsidRPr="00F46C90">
        <w:rPr>
          <w:rFonts w:asciiTheme="majorHAnsi" w:eastAsia="Times New Roman" w:hAnsiTheme="majorHAnsi" w:cstheme="majorHAnsi"/>
          <w:lang w:eastAsia="zh-CN"/>
        </w:rPr>
        <w:t>da ciascun componente dell’aggregazione di rete nonché dall’organo comune nel caso in cui questi abbia soggettività giuridica.</w:t>
      </w:r>
    </w:p>
    <w:p w14:paraId="10BC1C8F" w14:textId="77777777" w:rsidR="004B0C29" w:rsidRPr="006477F3" w:rsidRDefault="004B0C29" w:rsidP="00401B90">
      <w:pPr>
        <w:pStyle w:val="Nessunaspaziatura"/>
        <w:spacing w:line="276" w:lineRule="auto"/>
        <w:jc w:val="both"/>
        <w:rPr>
          <w:rFonts w:asciiTheme="majorHAnsi" w:eastAsia="Times New Roman" w:hAnsiTheme="majorHAnsi" w:cstheme="majorHAnsi"/>
          <w:u w:val="single"/>
          <w:lang w:eastAsia="zh-CN"/>
        </w:rPr>
      </w:pPr>
    </w:p>
    <w:p w14:paraId="4D6BF190" w14:textId="77777777" w:rsidR="00401B90" w:rsidRPr="006477F3" w:rsidRDefault="00401B90" w:rsidP="00401B90">
      <w:pPr>
        <w:pStyle w:val="Nessunaspaziatura"/>
        <w:spacing w:line="276" w:lineRule="auto"/>
        <w:jc w:val="both"/>
        <w:rPr>
          <w:rFonts w:asciiTheme="majorHAnsi" w:eastAsia="Times New Roman" w:hAnsiTheme="majorHAnsi" w:cstheme="majorHAnsi"/>
          <w:u w:val="single"/>
          <w:lang w:eastAsia="zh-CN"/>
        </w:rPr>
      </w:pPr>
      <w:r w:rsidRPr="006477F3">
        <w:rPr>
          <w:rFonts w:asciiTheme="majorHAnsi" w:eastAsia="Times New Roman" w:hAnsiTheme="majorHAnsi" w:cstheme="majorHAnsi"/>
          <w:u w:val="single"/>
          <w:lang w:eastAsia="zh-CN"/>
        </w:rPr>
        <w:t>Requisiti di capacità economico finanziaria</w:t>
      </w:r>
    </w:p>
    <w:p w14:paraId="411EF5D5" w14:textId="1664B6A2" w:rsidR="00401B90" w:rsidRPr="006477F3" w:rsidRDefault="00EF4D3F" w:rsidP="00401B90">
      <w:pPr>
        <w:pStyle w:val="Nessunaspaziatura"/>
        <w:spacing w:line="276" w:lineRule="auto"/>
        <w:jc w:val="both"/>
        <w:rPr>
          <w:rFonts w:asciiTheme="majorHAnsi" w:eastAsia="Times New Roman" w:hAnsiTheme="majorHAnsi" w:cstheme="majorHAnsi"/>
          <w:lang w:eastAsia="zh-CN"/>
        </w:rPr>
      </w:pPr>
      <w:r>
        <w:rPr>
          <w:rFonts w:asciiTheme="majorHAnsi" w:eastAsia="Times New Roman" w:hAnsiTheme="majorHAnsi" w:cstheme="majorHAnsi"/>
          <w:lang w:eastAsia="zh-CN"/>
        </w:rPr>
        <w:t>Il requisito del fatturato globale dev’essere soddisfatto dal raggruppamento temporaneo nel complesso.</w:t>
      </w:r>
    </w:p>
    <w:p w14:paraId="5BC9C205" w14:textId="77777777" w:rsidR="00401B90" w:rsidRPr="006477F3" w:rsidRDefault="00401B90" w:rsidP="00401B90">
      <w:pPr>
        <w:pStyle w:val="Nessunaspaziatura"/>
        <w:spacing w:line="276" w:lineRule="auto"/>
        <w:jc w:val="both"/>
        <w:rPr>
          <w:rFonts w:asciiTheme="majorHAnsi" w:eastAsia="Times New Roman" w:hAnsiTheme="majorHAnsi" w:cstheme="majorHAnsi"/>
          <w:u w:val="single"/>
          <w:lang w:eastAsia="zh-CN"/>
        </w:rPr>
      </w:pPr>
    </w:p>
    <w:p w14:paraId="66252B41" w14:textId="77777777" w:rsidR="00401B90" w:rsidRPr="006477F3" w:rsidRDefault="00401B90" w:rsidP="00401B90">
      <w:pPr>
        <w:pStyle w:val="Nessunaspaziatura"/>
        <w:spacing w:line="276" w:lineRule="auto"/>
        <w:jc w:val="both"/>
        <w:rPr>
          <w:rFonts w:asciiTheme="majorHAnsi" w:eastAsia="Times New Roman" w:hAnsiTheme="majorHAnsi" w:cstheme="majorHAnsi"/>
          <w:u w:val="single"/>
          <w:lang w:eastAsia="zh-CN"/>
        </w:rPr>
      </w:pPr>
      <w:r w:rsidRPr="006477F3">
        <w:rPr>
          <w:rFonts w:asciiTheme="majorHAnsi" w:eastAsia="Times New Roman" w:hAnsiTheme="majorHAnsi" w:cstheme="majorHAnsi"/>
          <w:u w:val="single"/>
          <w:lang w:eastAsia="zh-CN"/>
        </w:rPr>
        <w:t>Requisiti di capacità tecnico-professionale</w:t>
      </w:r>
    </w:p>
    <w:p w14:paraId="0B704F58" w14:textId="0A0F02A0"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Si precisa quanto segue:</w:t>
      </w:r>
    </w:p>
    <w:p w14:paraId="206AF417" w14:textId="7CE45DEE"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Il requisito dell’elenco dei contratti analoghi di cui al precedente paragrafo 6.3 lett. a) deve essere posseduto dal raggruppamento nel complesso.</w:t>
      </w:r>
    </w:p>
    <w:p w14:paraId="4222DB37"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Nel caso in cui un raggruppamento abbia estromesso o sostituito un partecipante allo stesso poiché privo di un requisito di ordine speciale di cui all’articolo 100 del Codice, si valutano le misure adottate ai sensi dell’articolo 97 del Codice al fine di decidere sull’esclusione del raggruppamento.</w:t>
      </w:r>
    </w:p>
    <w:p w14:paraId="4E40A40C" w14:textId="77777777" w:rsidR="00401B90" w:rsidRPr="006477F3" w:rsidRDefault="00401B90" w:rsidP="00401B90">
      <w:pPr>
        <w:pStyle w:val="Nessunaspaziatura"/>
        <w:spacing w:line="276" w:lineRule="auto"/>
        <w:jc w:val="both"/>
        <w:rPr>
          <w:rFonts w:asciiTheme="majorHAnsi" w:eastAsia="Times New Roman" w:hAnsiTheme="majorHAnsi" w:cstheme="majorHAnsi"/>
          <w:b/>
          <w:bCs/>
          <w:lang w:eastAsia="zh-CN"/>
        </w:rPr>
      </w:pPr>
    </w:p>
    <w:p w14:paraId="20E23CC0"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6.5</w:t>
      </w:r>
      <w:r w:rsidRPr="006477F3">
        <w:rPr>
          <w:rFonts w:asciiTheme="majorHAnsi" w:eastAsia="Times New Roman" w:hAnsiTheme="majorHAnsi" w:cstheme="majorHAnsi"/>
          <w:lang w:eastAsia="zh-CN"/>
        </w:rPr>
        <w:tab/>
        <w:t>INDICAZIONI PER I CONSORZI DI COOPERATIVE E DI IMPRESE ARTIGIANE E I CONSORZI STABILI</w:t>
      </w:r>
    </w:p>
    <w:p w14:paraId="23C5CC8B" w14:textId="5FF4814C" w:rsidR="004B0C29"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 soggetti di cui all’articolo 65 comma 2, lettere b), c) e d) del Codice devono possedere i requisiti di partecipazione nei termini di seguito indicati.</w:t>
      </w:r>
    </w:p>
    <w:p w14:paraId="2A100753" w14:textId="77777777" w:rsidR="00F46C90" w:rsidRPr="006477F3" w:rsidRDefault="00F46C90" w:rsidP="00401B90">
      <w:pPr>
        <w:pStyle w:val="Nessunaspaziatura"/>
        <w:spacing w:line="276" w:lineRule="auto"/>
        <w:jc w:val="both"/>
        <w:rPr>
          <w:rFonts w:asciiTheme="majorHAnsi" w:eastAsia="Times New Roman" w:hAnsiTheme="majorHAnsi" w:cstheme="majorHAnsi"/>
          <w:lang w:eastAsia="zh-CN"/>
        </w:rPr>
      </w:pPr>
    </w:p>
    <w:p w14:paraId="3CD2F633" w14:textId="77777777" w:rsidR="00401B90" w:rsidRPr="006477F3" w:rsidRDefault="00401B90" w:rsidP="00401B90">
      <w:pPr>
        <w:pStyle w:val="Nessunaspaziatura"/>
        <w:spacing w:line="276" w:lineRule="auto"/>
        <w:jc w:val="both"/>
        <w:rPr>
          <w:rFonts w:asciiTheme="majorHAnsi" w:eastAsia="Times New Roman" w:hAnsiTheme="majorHAnsi" w:cstheme="majorHAnsi"/>
          <w:u w:val="single"/>
          <w:lang w:eastAsia="zh-CN"/>
        </w:rPr>
      </w:pPr>
      <w:r w:rsidRPr="006477F3">
        <w:rPr>
          <w:rFonts w:asciiTheme="majorHAnsi" w:eastAsia="Times New Roman" w:hAnsiTheme="majorHAnsi" w:cstheme="majorHAnsi"/>
          <w:u w:val="single"/>
          <w:lang w:eastAsia="zh-CN"/>
        </w:rPr>
        <w:t>Requisiti di idoneità professionale</w:t>
      </w:r>
    </w:p>
    <w:p w14:paraId="043BDD7F" w14:textId="0EF9098D"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Il requisito relativo all’iscrizione nel Registro delle Imprese / Albo delle Imprese artigiane / Ordine professionale di cui al paragrafo 6.1. lettera a) deve essere posseduto dal consorzio e dai consorziati indicati come esecutori.</w:t>
      </w:r>
    </w:p>
    <w:p w14:paraId="07ACF1E2"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p>
    <w:p w14:paraId="10C82D0B" w14:textId="70FE839A" w:rsidR="00401B90" w:rsidRPr="006477F3" w:rsidRDefault="00401B90" w:rsidP="00401B90">
      <w:pPr>
        <w:pStyle w:val="Nessunaspaziatura"/>
        <w:spacing w:line="276" w:lineRule="auto"/>
        <w:jc w:val="both"/>
        <w:rPr>
          <w:rFonts w:asciiTheme="majorHAnsi" w:eastAsia="Times New Roman" w:hAnsiTheme="majorHAnsi" w:cstheme="majorHAnsi"/>
          <w:u w:val="single"/>
          <w:lang w:eastAsia="zh-CN"/>
        </w:rPr>
      </w:pPr>
      <w:r w:rsidRPr="006477F3">
        <w:rPr>
          <w:rFonts w:asciiTheme="majorHAnsi" w:eastAsia="Times New Roman" w:hAnsiTheme="majorHAnsi" w:cstheme="majorHAnsi"/>
          <w:u w:val="single"/>
          <w:lang w:eastAsia="zh-CN"/>
        </w:rPr>
        <w:t>Requisiti di capacità economico finanziaria</w:t>
      </w:r>
      <w:r w:rsidR="00EF4D3F">
        <w:rPr>
          <w:rFonts w:asciiTheme="majorHAnsi" w:eastAsia="Times New Roman" w:hAnsiTheme="majorHAnsi" w:cstheme="majorHAnsi"/>
          <w:u w:val="single"/>
          <w:lang w:eastAsia="zh-CN"/>
        </w:rPr>
        <w:t xml:space="preserve"> e tecnico professionali</w:t>
      </w:r>
    </w:p>
    <w:p w14:paraId="3B0172F0" w14:textId="77777777" w:rsidR="00EF4D3F" w:rsidRPr="00EF4D3F" w:rsidRDefault="00EF4D3F" w:rsidP="00EF4D3F">
      <w:pPr>
        <w:pStyle w:val="Nessunaspaziatura"/>
        <w:spacing w:line="276" w:lineRule="auto"/>
        <w:jc w:val="both"/>
        <w:rPr>
          <w:rFonts w:asciiTheme="majorHAnsi" w:eastAsia="Times New Roman" w:hAnsiTheme="majorHAnsi" w:cstheme="majorHAnsi"/>
          <w:lang w:eastAsia="zh-CN"/>
        </w:rPr>
      </w:pPr>
      <w:r w:rsidRPr="00EF4D3F">
        <w:rPr>
          <w:rFonts w:asciiTheme="majorHAnsi" w:eastAsia="Times New Roman" w:hAnsiTheme="majorHAnsi" w:cstheme="majorHAnsi"/>
          <w:lang w:eastAsia="zh-CN"/>
        </w:rPr>
        <w:t xml:space="preserve">I consorzi di cui all’articolo 65, comma 2, lettera b) e c) del Codice, utilizzano i requisiti propri e, nel novero di questi, fanno valere i mezzi nella disponibilità delle consorziate che li costituiscono. </w:t>
      </w:r>
    </w:p>
    <w:p w14:paraId="6A74AC7A" w14:textId="41A3328F" w:rsidR="00401B90" w:rsidRPr="006477F3" w:rsidRDefault="00EF4D3F" w:rsidP="00EF4D3F">
      <w:pPr>
        <w:pStyle w:val="Nessunaspaziatura"/>
        <w:spacing w:line="276" w:lineRule="auto"/>
        <w:jc w:val="both"/>
        <w:rPr>
          <w:rFonts w:asciiTheme="majorHAnsi" w:eastAsia="Times New Roman" w:hAnsiTheme="majorHAnsi" w:cstheme="majorHAnsi"/>
          <w:lang w:eastAsia="zh-CN"/>
        </w:rPr>
      </w:pPr>
      <w:r w:rsidRPr="00EF4D3F">
        <w:rPr>
          <w:rFonts w:asciiTheme="majorHAnsi" w:eastAsia="Times New Roman" w:hAnsiTheme="majorHAnsi" w:cstheme="majorHAnsi"/>
          <w:lang w:eastAsia="zh-CN"/>
        </w:rPr>
        <w:t>Per i consorzi di cui all’articolo 65, comma 2, lett. d) del Codice, i requisiti di capacità tecnica e finanziaria sono computati cumulativamente in capo al consorzio ancorché posseduti dalle singole consorziate.</w:t>
      </w:r>
    </w:p>
    <w:p w14:paraId="3C18F498"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p>
    <w:p w14:paraId="41301E7C"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Ai sensi dell’art.97 co.3 del Codice, nel caso in cui un consorzio abbia estromesso o sostituito una consorziata poiché priva di un requisito di ordine speciale di cui all’articolo 100 del Codice, si valutano le misure adottate ai sensi dell’articolo 97 del Codice al fine di decidere sull’esclusione.</w:t>
      </w:r>
    </w:p>
    <w:p w14:paraId="6E0E4AB1" w14:textId="77777777" w:rsidR="00401B90" w:rsidRPr="006477F3" w:rsidRDefault="00401B90" w:rsidP="00401B90">
      <w:pPr>
        <w:pStyle w:val="Nessunaspaziatura"/>
        <w:spacing w:line="276" w:lineRule="auto"/>
        <w:rPr>
          <w:rFonts w:asciiTheme="majorHAnsi" w:eastAsia="Times New Roman" w:hAnsiTheme="majorHAnsi" w:cstheme="majorHAnsi"/>
          <w:b/>
          <w:bCs/>
          <w:lang w:eastAsia="zh-CN"/>
        </w:rPr>
      </w:pPr>
    </w:p>
    <w:p w14:paraId="35546BBA" w14:textId="7644AEFC" w:rsidR="00401B90" w:rsidRPr="006477F3" w:rsidRDefault="00401B90" w:rsidP="00401B90">
      <w:pPr>
        <w:pStyle w:val="Nessunaspaziatura"/>
        <w:spacing w:line="276" w:lineRule="auto"/>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7</w:t>
      </w:r>
      <w:r w:rsidR="004B0C29" w:rsidRPr="006477F3">
        <w:rPr>
          <w:rFonts w:asciiTheme="majorHAnsi" w:eastAsia="Times New Roman" w:hAnsiTheme="majorHAnsi" w:cstheme="majorHAnsi"/>
          <w:b/>
          <w:bCs/>
          <w:lang w:eastAsia="zh-CN"/>
        </w:rPr>
        <w:t>.</w:t>
      </w:r>
      <w:r w:rsidRPr="006477F3">
        <w:rPr>
          <w:rFonts w:asciiTheme="majorHAnsi" w:eastAsia="Times New Roman" w:hAnsiTheme="majorHAnsi" w:cstheme="majorHAnsi"/>
          <w:b/>
          <w:bCs/>
          <w:lang w:eastAsia="zh-CN"/>
        </w:rPr>
        <w:tab/>
        <w:t>AVVALIMENTO</w:t>
      </w:r>
    </w:p>
    <w:p w14:paraId="02B58921"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Il concorrente può avvalersi di dotazioni tecniche, risorse umane e strumentali messe a disposizione da uno o più operatori economici ausiliari per dimostrare il possesso dei requisiti di ordine speciale di cui al paragrafo 6 e/o per migliorare la propria offerta.</w:t>
      </w:r>
    </w:p>
    <w:p w14:paraId="095A6034"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Nel contratto di avvalimento le parti specificano le risorse strumentali e umane che l’ausiliario mette a disposizione del concorrente e indicano se l’avvalimento è finalizzato ad acquisire un requisito di partecipazione o a migliorare l’offerta del concorrente, o se serve ad entrambe le finalità.</w:t>
      </w:r>
    </w:p>
    <w:p w14:paraId="3BCE7882" w14:textId="3C0886B9"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Nei soli casi in cui l’avvalimento sia finalizzato a migliorare l’offerta, non è consentito che partecipino alla medesima gara l’impresa ausiliaria e quella che si avvale delle risorse da essa messe a disposizione, salvo che la prima non dimostri in concreto con adeguato supporto documentale, in sede di presentazione della propria offerta, che non sussistono collegamenti tali da ricondurre entrambe le imprese ad uno stesso centro decisionale. La stazione appaltante può comunque chiedere ad entrambe le imprese chiarimenti o integrazioni documentali, assegnando a tal fine un congruo termine non prorogabile.</w:t>
      </w:r>
    </w:p>
    <w:p w14:paraId="7AF1D469"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lastRenderedPageBreak/>
        <w:t>Ai sensi dell’articolo 372, comma 4 del codice della crisi di impresa e dell’insolvenza, per la partecipazione alla presente procedura tra il momento del deposito della domanda di cui all’articolo 40 del succitato codice e il momento del deposito del decreto previsto dall'articolo 47 del codice medesimo è sempre necessario l'avvalimento dei requisiti di un altro soggetto. L’avvalimento non è necessario in caso di ammissione al concordato preventivo.</w:t>
      </w:r>
    </w:p>
    <w:p w14:paraId="2A6EC166"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Il concorrente e l’ausiliario sono responsabili in solido nei confronti della stazione appaltante in relazione alle prestazioni oggetto del contratto.</w:t>
      </w:r>
    </w:p>
    <w:p w14:paraId="320EF218"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p>
    <w:p w14:paraId="026A5212"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Non è consentito l’avvalimento per soddisfare i requisiti di ordine generale e dell’iscrizione alla Camera di commercio.</w:t>
      </w:r>
    </w:p>
    <w:p w14:paraId="43DB3DBA" w14:textId="77777777" w:rsidR="00401B90" w:rsidRPr="006477F3" w:rsidRDefault="00401B90" w:rsidP="00401B90">
      <w:pPr>
        <w:pStyle w:val="Nessunaspaziatura"/>
        <w:spacing w:line="276" w:lineRule="auto"/>
        <w:jc w:val="center"/>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w:t>
      </w:r>
    </w:p>
    <w:p w14:paraId="2AB1FD03"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Per la documentazione da presentare in caso di avvalimento si rinvia a quanto previsto dal successivo paragrafo 15.</w:t>
      </w:r>
    </w:p>
    <w:p w14:paraId="09441916"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L’ausiliaria, in particolare, deve:</w:t>
      </w:r>
    </w:p>
    <w:p w14:paraId="14830EED" w14:textId="77777777" w:rsidR="00401B90" w:rsidRPr="006477F3" w:rsidRDefault="00401B90" w:rsidP="00F46C90">
      <w:pPr>
        <w:pStyle w:val="Nessunaspaziatura"/>
        <w:spacing w:line="276" w:lineRule="auto"/>
        <w:ind w:left="705" w:hanging="705"/>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a.</w:t>
      </w:r>
      <w:r w:rsidRPr="006477F3">
        <w:rPr>
          <w:rFonts w:asciiTheme="majorHAnsi" w:eastAsia="Times New Roman" w:hAnsiTheme="majorHAnsi" w:cstheme="majorHAnsi"/>
          <w:lang w:eastAsia="zh-CN"/>
        </w:rPr>
        <w:tab/>
        <w:t>possedere i requisiti previsti dal paragrafo 5 e dichiararli presentando un proprio DGUE, da compilare nelle parti pertinenti, nonché una dichiarazione integrativa nei termini indicati al paragrafo 15.3.</w:t>
      </w:r>
    </w:p>
    <w:p w14:paraId="02E05AD7" w14:textId="6089E49D" w:rsidR="00401B90" w:rsidRPr="006477F3" w:rsidRDefault="00401B90" w:rsidP="00F46C90">
      <w:pPr>
        <w:pStyle w:val="Nessunaspaziatura"/>
        <w:spacing w:line="276" w:lineRule="auto"/>
        <w:ind w:left="705" w:hanging="705"/>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b.</w:t>
      </w:r>
      <w:r w:rsidRPr="006477F3">
        <w:rPr>
          <w:rFonts w:asciiTheme="majorHAnsi" w:eastAsia="Times New Roman" w:hAnsiTheme="majorHAnsi" w:cstheme="majorHAnsi"/>
          <w:lang w:eastAsia="zh-CN"/>
        </w:rPr>
        <w:tab/>
        <w:t>possedere i requisiti di cui all’articolo 100 del Codice e dichiararli nel proprio DGUE, da compilare nelle parti pertinenti, tenuto conto di quanto previsto dal paragrafo 6;</w:t>
      </w:r>
    </w:p>
    <w:p w14:paraId="74099B2E" w14:textId="77777777" w:rsidR="00401B90" w:rsidRPr="006477F3" w:rsidRDefault="00401B90" w:rsidP="00F46C90">
      <w:pPr>
        <w:pStyle w:val="Nessunaspaziatura"/>
        <w:spacing w:line="276" w:lineRule="auto"/>
        <w:ind w:left="705" w:hanging="705"/>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c.</w:t>
      </w:r>
      <w:r w:rsidRPr="006477F3">
        <w:rPr>
          <w:rFonts w:asciiTheme="majorHAnsi" w:eastAsia="Times New Roman" w:hAnsiTheme="majorHAnsi" w:cstheme="majorHAnsi"/>
          <w:lang w:eastAsia="zh-CN"/>
        </w:rPr>
        <w:tab/>
        <w:t>impegnarsi, verso il concorrente che si avvale e verso la stazione appaltante, a mettere a disposizione, per tutta la durata dell’appalto, le risorse (riferite a requisiti di partecipazione e/o premiali) oggetto di avvalimento, utilizzando preferibilmente il modello predisposto dalla stazione appaltante.</w:t>
      </w:r>
    </w:p>
    <w:p w14:paraId="2F9332F1"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Il concorrente allega alla dichiarazione di partecipazione il contratto di avvalimento, che deve essere nativo digitale e firmato digitalmente dalle parti, nonché le dichiarazioni dell’ausiliario.</w:t>
      </w:r>
    </w:p>
    <w:p w14:paraId="3D162270"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È sanabile, mediante soccorso istruttorio, la mancata produzione delle dichiarazioni dell’ausiliario.</w:t>
      </w:r>
    </w:p>
    <w:p w14:paraId="15340931"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p>
    <w:p w14:paraId="085162DD"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È sanabile, mediante soccorso istruttorio, la mancata produzione del contratto di avvalimento a condizione che il contratto sia stato stipulato prima del termine di presentazione dell’offerta e che tale circostanza sia comprovabile con data certa.</w:t>
      </w:r>
    </w:p>
    <w:p w14:paraId="354A6565"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Non è sanabile la mancata indicazione delle risorse messe a disposizione dall’ausiliario in quanto causa di nullità del contratto di avvalimento.</w:t>
      </w:r>
    </w:p>
    <w:p w14:paraId="62340D2D" w14:textId="35809FD1"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Qualora per l’ausiliario sussistano motivi di esclusione o laddove esso non soddisfi i requisiti di ordine speciale, il concorrente sostituisce l’ausiliario entro 7 giorni decorrenti dal ricevimento della richiesta</w:t>
      </w:r>
      <w:r w:rsidR="00F46C90">
        <w:rPr>
          <w:rFonts w:asciiTheme="majorHAnsi" w:eastAsia="Times New Roman" w:hAnsiTheme="majorHAnsi" w:cstheme="majorHAnsi"/>
          <w:lang w:eastAsia="zh-CN"/>
        </w:rPr>
        <w:t xml:space="preserve"> </w:t>
      </w:r>
      <w:r w:rsidRPr="006477F3">
        <w:rPr>
          <w:rFonts w:asciiTheme="majorHAnsi" w:eastAsia="Times New Roman" w:hAnsiTheme="majorHAnsi" w:cstheme="majorHAnsi"/>
          <w:lang w:eastAsia="zh-CN"/>
        </w:rPr>
        <w:t>da parte della stazione appaltante. Contestualmente il concorrente produce i documenti richiesti per l’avvalimento.</w:t>
      </w:r>
    </w:p>
    <w:p w14:paraId="01EA528A"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 xml:space="preserve">Nel caso in cui l’ausiliario si sia reso responsabile di una falsa dichiarazione sul possesso dei requisiti, la stazione appaltante procede a segnalare all’Autorità Nazionale Anticorruzione il </w:t>
      </w:r>
      <w:r w:rsidRPr="006477F3">
        <w:rPr>
          <w:rFonts w:asciiTheme="majorHAnsi" w:eastAsia="Times New Roman" w:hAnsiTheme="majorHAnsi" w:cstheme="majorHAnsi"/>
          <w:lang w:eastAsia="zh-CN"/>
        </w:rPr>
        <w:lastRenderedPageBreak/>
        <w:t>comportamento tenuto dall’ausiliario per consentire le valutazioni di cui all’articolo 96, comma 15.</w:t>
      </w:r>
    </w:p>
    <w:p w14:paraId="156D2DC9"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L’operatore economico può indicare un altro ausiliario nel termine di dieci giorni, pena l’esclusione dalla gara. La sostituzione può essere effettuata soltanto nel caso in cui non conduca a una modifica sostanziale dell’offerta. Il mancato rispetto del termine assegnato per la sostituzione comporta l’esclusione del concorrente.</w:t>
      </w:r>
    </w:p>
    <w:p w14:paraId="18822D99" w14:textId="77777777" w:rsidR="00401B90" w:rsidRPr="006477F3" w:rsidRDefault="00401B90" w:rsidP="00401B90">
      <w:pPr>
        <w:pStyle w:val="Nessunaspaziatura"/>
        <w:spacing w:line="276" w:lineRule="auto"/>
        <w:rPr>
          <w:rFonts w:asciiTheme="majorHAnsi" w:eastAsia="Times New Roman" w:hAnsiTheme="majorHAnsi" w:cstheme="majorHAnsi"/>
          <w:b/>
          <w:bCs/>
          <w:lang w:eastAsia="zh-CN"/>
        </w:rPr>
      </w:pPr>
    </w:p>
    <w:p w14:paraId="551C0C31" w14:textId="43F9E61E" w:rsidR="00401B90" w:rsidRPr="006477F3" w:rsidRDefault="00401B90" w:rsidP="00401B90">
      <w:pPr>
        <w:pStyle w:val="Nessunaspaziatura"/>
        <w:spacing w:line="276" w:lineRule="auto"/>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8</w:t>
      </w:r>
      <w:r w:rsidR="004B0C29" w:rsidRPr="006477F3">
        <w:rPr>
          <w:rFonts w:asciiTheme="majorHAnsi" w:eastAsia="Times New Roman" w:hAnsiTheme="majorHAnsi" w:cstheme="majorHAnsi"/>
          <w:b/>
          <w:bCs/>
          <w:lang w:eastAsia="zh-CN"/>
        </w:rPr>
        <w:t>.</w:t>
      </w:r>
      <w:r w:rsidRPr="006477F3">
        <w:rPr>
          <w:rFonts w:asciiTheme="majorHAnsi" w:eastAsia="Times New Roman" w:hAnsiTheme="majorHAnsi" w:cstheme="majorHAnsi"/>
          <w:b/>
          <w:bCs/>
          <w:lang w:eastAsia="zh-CN"/>
        </w:rPr>
        <w:tab/>
        <w:t>SUBAPPALTO</w:t>
      </w:r>
    </w:p>
    <w:p w14:paraId="300C83D3"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Il concorrente indica le prestazioni che intende subappaltare o concedere in cottimo. In caso di mancata indicazione il subappalto è vietato.</w:t>
      </w:r>
    </w:p>
    <w:p w14:paraId="6B2A0F30"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Non può essere affidata in subappalto l’integrale esecuzione delle prestazioni oggetto del contratto nonché -nel caso di contratti aventi ad oggetto servizi ad alta intensità di manodopera- la prevalente esecuzione delle medesime.</w:t>
      </w:r>
    </w:p>
    <w:p w14:paraId="4795A6F6"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 contratti di subappalto sono stipulati, in misura non inferiore al 20% delle prestazioni subappaltabili, con piccole e medie imprese, come definite dall’art. 1, co. 1, lett. o) dell’allegato I.1. Gli operatori economici possono indicare nell’ambito della documentazione amministrativa una diversa soglia di affidamento delle prestazioni che si intende subappaltare alle piccole e medie imprese per ragioni legate all’oggetto o alle caratteristiche delle prestazioni o al mercato di riferimento.</w:t>
      </w:r>
    </w:p>
    <w:p w14:paraId="53331564"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L’aggiudicatario e il subappaltatore sono responsabili in solido nei confronti della stazione appaltante dell’esecuzione delle prestazioni oggetto del contratto di subappalto.</w:t>
      </w:r>
    </w:p>
    <w:p w14:paraId="69C877FD"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Qualora nell’ambito del subappalto sia prevista l’esecuzione di una delle prestazioni ricadenti nelle categorie elencate all’articolo 1, co. 53, della Legge n. 190/2012, a prescindere dall’importo della prestazione, la stipula, l’approvazione o l’autorizzazione di contratti e sub-contratti relativi ai lavori sono subordinati, ai fini della comunicazione e dell’informazione antimafia liberatoria, all’iscrizione dell’impresa incaricata della relativa esecuzione nell’elenco dei fornitori, prestatori di servizi ed esecutori di lavori non soggetti a tentativo di infiltrazione mafiosa, operanti nei settori esposti maggiormente a rischio, della Prefettura della provincia ove l’impresa medesima ha sede (cd. White list). Per i soggetti che non risultano censiti nella Banca dati nazionale unica e che hanno presentato domanda di iscrizione nell’elenco, si osservano le disposizioni di cui all’articolo 92, co. 2 e co. 3, del D.Lgs. n. 159/2011.</w:t>
      </w:r>
    </w:p>
    <w:p w14:paraId="4AB01CDF" w14:textId="77777777" w:rsidR="00401B90" w:rsidRPr="006477F3" w:rsidRDefault="00401B90" w:rsidP="00401B90">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Si precisa che le disposizioni introdotte ai sensi dell’art. 57 del codice, ove previste nel presente documento, per favorire le pari opportunità di genere e generazionali, nonché l'inclusione lavorativa delle persone con disabilità, trovano applicazione anche al subappaltatore per il raggiungimento complessivo delle percentuali previste dalla citata norma. A tal proposito, si richiama altresì l’attenzione agli obblighi descritti nell’ambito del paragrafo dedicato ai requisiti generali validi per tutti gli operatori economici, nonché alle previsioni sul conflitto di interesse e titolare effettivo.</w:t>
      </w:r>
    </w:p>
    <w:p w14:paraId="6150696E" w14:textId="77777777" w:rsidR="00401B90" w:rsidRPr="006477F3" w:rsidRDefault="00401B90" w:rsidP="00401B90">
      <w:pPr>
        <w:pStyle w:val="Nessunaspaziatura"/>
        <w:spacing w:line="276" w:lineRule="auto"/>
        <w:rPr>
          <w:rFonts w:asciiTheme="majorHAnsi" w:eastAsia="Times New Roman" w:hAnsiTheme="majorHAnsi" w:cstheme="majorHAnsi"/>
          <w:lang w:eastAsia="zh-CN"/>
        </w:rPr>
      </w:pPr>
    </w:p>
    <w:p w14:paraId="64E999AB" w14:textId="64FDEE61" w:rsidR="00401B90" w:rsidRPr="006477F3" w:rsidRDefault="00401B90" w:rsidP="00401B90">
      <w:pPr>
        <w:pStyle w:val="Nessunaspaziatura"/>
        <w:spacing w:line="276" w:lineRule="auto"/>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9</w:t>
      </w:r>
      <w:r w:rsidR="004B0C29" w:rsidRPr="006477F3">
        <w:rPr>
          <w:rFonts w:asciiTheme="majorHAnsi" w:eastAsia="Times New Roman" w:hAnsiTheme="majorHAnsi" w:cstheme="majorHAnsi"/>
          <w:b/>
          <w:bCs/>
          <w:lang w:eastAsia="zh-CN"/>
        </w:rPr>
        <w:t>.</w:t>
      </w:r>
      <w:r w:rsidRPr="006477F3">
        <w:rPr>
          <w:rFonts w:asciiTheme="majorHAnsi" w:eastAsia="Times New Roman" w:hAnsiTheme="majorHAnsi" w:cstheme="majorHAnsi"/>
          <w:b/>
          <w:bCs/>
          <w:lang w:eastAsia="zh-CN"/>
        </w:rPr>
        <w:tab/>
        <w:t>REQUISITI DI PARTECIPAZIONE E/O CONDIZIONI DI ESECUZIONE</w:t>
      </w:r>
    </w:p>
    <w:p w14:paraId="70B926DC" w14:textId="3E88AD63" w:rsidR="00401B90" w:rsidRPr="006477F3" w:rsidRDefault="00401B90" w:rsidP="00F46C90">
      <w:pPr>
        <w:pStyle w:val="Nessunaspaziatura"/>
        <w:spacing w:line="276" w:lineRule="auto"/>
        <w:ind w:left="705" w:hanging="705"/>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lastRenderedPageBreak/>
        <w:t>1</w:t>
      </w:r>
      <w:r w:rsidR="004B0C29" w:rsidRPr="006477F3">
        <w:rPr>
          <w:rFonts w:asciiTheme="majorHAnsi" w:eastAsia="Times New Roman" w:hAnsiTheme="majorHAnsi" w:cstheme="majorHAnsi"/>
          <w:lang w:eastAsia="zh-CN"/>
        </w:rPr>
        <w:t>)</w:t>
      </w:r>
      <w:r w:rsidRPr="006477F3">
        <w:rPr>
          <w:rFonts w:asciiTheme="majorHAnsi" w:eastAsia="Times New Roman" w:hAnsiTheme="majorHAnsi" w:cstheme="majorHAnsi"/>
          <w:lang w:eastAsia="zh-CN"/>
        </w:rPr>
        <w:tab/>
        <w:t>L’aggiudicatario è tenuto a garantire l’applicazione del contratto collettivo nazionale e territoriale come sopra riportato al paragrafo 3, oppure un altro contratto che garantisca le stesse tutele economiche e normative per i propri lavoratori e per quelli in subappalto.</w:t>
      </w:r>
    </w:p>
    <w:p w14:paraId="36E14823" w14:textId="25178EAE" w:rsidR="00401B90" w:rsidRPr="006477F3" w:rsidRDefault="00401B90" w:rsidP="00F46C90">
      <w:pPr>
        <w:pStyle w:val="Nessunaspaziatura"/>
        <w:spacing w:line="276" w:lineRule="auto"/>
        <w:ind w:left="705" w:hanging="705"/>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2</w:t>
      </w:r>
      <w:r w:rsidR="004B0C29" w:rsidRPr="006477F3">
        <w:rPr>
          <w:rFonts w:asciiTheme="majorHAnsi" w:eastAsia="Times New Roman" w:hAnsiTheme="majorHAnsi" w:cstheme="majorHAnsi"/>
          <w:lang w:eastAsia="zh-CN"/>
        </w:rPr>
        <w:t>)</w:t>
      </w:r>
      <w:r w:rsidRPr="006477F3">
        <w:rPr>
          <w:rFonts w:asciiTheme="majorHAnsi" w:eastAsia="Times New Roman" w:hAnsiTheme="majorHAnsi" w:cstheme="majorHAnsi"/>
          <w:lang w:eastAsia="zh-CN"/>
        </w:rPr>
        <w:tab/>
        <w:t>Ferma restando la necessaria armonizzazione con la propria organizzazione e con le esigenze tecnico-organizzative e di manodopera previste nel nuovo contratto, l’aggiudicatario del contratto di appalto è tenuto a garantire la stabilità occupazionale del personale impiegato nel contratto, assorbendo prioritariamente nel proprio organico il personale già operante alle dipendenze dell’aggiudicatario uscente, garantendo le stesse tutele del CCNL indicato nel paragrafo 3. L’elenco e i dati relativi al personale attualmente impiegato dal contraente uscente per l’esecuzione del contratto sono riportati in apposito file.</w:t>
      </w:r>
    </w:p>
    <w:p w14:paraId="3D57A6E9" w14:textId="33B2A709" w:rsidR="00401B90" w:rsidRPr="006477F3" w:rsidRDefault="00401B90" w:rsidP="00F46C90">
      <w:pPr>
        <w:pStyle w:val="Nessunaspaziatura"/>
        <w:spacing w:line="276" w:lineRule="auto"/>
        <w:ind w:left="360" w:hanging="360"/>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3</w:t>
      </w:r>
      <w:r w:rsidR="004B0C29" w:rsidRPr="006477F3">
        <w:rPr>
          <w:rFonts w:asciiTheme="majorHAnsi" w:eastAsia="Times New Roman" w:hAnsiTheme="majorHAnsi" w:cstheme="majorHAnsi"/>
          <w:lang w:eastAsia="zh-CN"/>
        </w:rPr>
        <w:t>)</w:t>
      </w:r>
      <w:r w:rsidRPr="006477F3">
        <w:rPr>
          <w:rFonts w:asciiTheme="majorHAnsi" w:eastAsia="Times New Roman" w:hAnsiTheme="majorHAnsi" w:cstheme="majorHAnsi"/>
          <w:lang w:eastAsia="zh-CN"/>
        </w:rPr>
        <w:tab/>
        <w:t>Al fine di garantire le pari opportunità generazionali, di genere e di inclusione lavorativa per le persone con disabilità o svantaggiate, il concorrente:</w:t>
      </w:r>
    </w:p>
    <w:p w14:paraId="66AB0F09" w14:textId="3155E584" w:rsidR="00401B90" w:rsidRPr="006477F3" w:rsidRDefault="00401B90" w:rsidP="0069424C">
      <w:pPr>
        <w:pStyle w:val="Nessunaspaziatura"/>
        <w:numPr>
          <w:ilvl w:val="0"/>
          <w:numId w:val="12"/>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si impegna, a pena di esclusione, in caso di aggiudicazione del contratto, ad assicurare:</w:t>
      </w:r>
    </w:p>
    <w:p w14:paraId="4C8402F2" w14:textId="77777777" w:rsidR="004B0C29" w:rsidRPr="006477F3" w:rsidRDefault="00401B90" w:rsidP="0069424C">
      <w:pPr>
        <w:pStyle w:val="Nessunaspaziatura"/>
        <w:numPr>
          <w:ilvl w:val="0"/>
          <w:numId w:val="70"/>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una quota pari al 30 per cento delle assunzioni necessarie di occupazione giovanile</w:t>
      </w:r>
    </w:p>
    <w:p w14:paraId="24A89544" w14:textId="562B0C4E" w:rsidR="00401B90" w:rsidRPr="006477F3" w:rsidRDefault="00401B90" w:rsidP="0069424C">
      <w:pPr>
        <w:pStyle w:val="Nessunaspaziatura"/>
        <w:numPr>
          <w:ilvl w:val="0"/>
          <w:numId w:val="70"/>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una quota pari al 30 per cento delle assunzioni necessarie di occupazione femminile.</w:t>
      </w:r>
    </w:p>
    <w:p w14:paraId="72730EB1" w14:textId="77777777" w:rsidR="00401B90" w:rsidRPr="006477F3" w:rsidRDefault="00401B90" w:rsidP="00F46C90">
      <w:pPr>
        <w:pStyle w:val="Nessunaspaziatura"/>
        <w:spacing w:line="276" w:lineRule="auto"/>
        <w:ind w:left="708"/>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Si precisa che l’impegno presentato in gara dal concorrente trova applicazione in fase esecutiva anche nei confronti delle consorziate esecutrici, dell’ausiliario e del subappaltatore per il raggiungimento complessivo delle percentuali sopra indicate.</w:t>
      </w:r>
    </w:p>
    <w:p w14:paraId="430796F5" w14:textId="262CEE0B" w:rsidR="00401B90" w:rsidRPr="006477F3" w:rsidRDefault="00401B90" w:rsidP="0069424C">
      <w:pPr>
        <w:pStyle w:val="Nessunaspaziatura"/>
        <w:numPr>
          <w:ilvl w:val="0"/>
          <w:numId w:val="12"/>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è tenuto al rispetto degli obblighi in materia di lavoro delle persone con disabilità di cui alla legge 12 marzo 1999, n. 68.</w:t>
      </w:r>
    </w:p>
    <w:p w14:paraId="15371C2F" w14:textId="77777777" w:rsidR="00401B90" w:rsidRPr="006477F3" w:rsidRDefault="00401B90" w:rsidP="004B0C29">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Gli operatori economici che occupano un numero pari o superiore a quindici dipendenti e non superiore a cinquanta, non tenuti alla redazione del rapporto sulla situazione del personale, ai sensi dell'articolo 46 del decreto legislativo 11 aprile 2006, n. 198, sono tenuti, entro sei mesi dalla conclusione del contratto,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p>
    <w:p w14:paraId="1A6BC1BB" w14:textId="7E40EF1E" w:rsidR="00401B90" w:rsidRPr="006477F3" w:rsidRDefault="00401B90" w:rsidP="004B0C29">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Gli operatori economici che occupano un numero pari o superiore a quindici dipendenti sono tenuti, entro sei mesi dalla conclusione del contratto,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p w14:paraId="5084EF98" w14:textId="77777777" w:rsidR="00401B90" w:rsidRPr="006477F3" w:rsidRDefault="00401B90" w:rsidP="00DB09C5">
      <w:pPr>
        <w:pStyle w:val="Nessunaspaziatura"/>
        <w:spacing w:line="276" w:lineRule="auto"/>
        <w:rPr>
          <w:rFonts w:asciiTheme="majorHAnsi" w:eastAsia="Times New Roman" w:hAnsiTheme="majorHAnsi" w:cstheme="majorHAnsi"/>
          <w:b/>
          <w:bCs/>
          <w:lang w:eastAsia="zh-CN"/>
        </w:rPr>
      </w:pPr>
    </w:p>
    <w:p w14:paraId="70A90EC6" w14:textId="319F5B49" w:rsidR="00401B90" w:rsidRPr="006477F3" w:rsidRDefault="004B0C29" w:rsidP="00DB09C5">
      <w:pPr>
        <w:pStyle w:val="Nessunaspaziatura"/>
        <w:spacing w:line="276" w:lineRule="auto"/>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10. GARANZIA PROVVISORIA</w:t>
      </w:r>
    </w:p>
    <w:p w14:paraId="5512C71C" w14:textId="17FBC115" w:rsidR="004B0C29" w:rsidRPr="006477F3" w:rsidRDefault="004B0C29" w:rsidP="004B0C29">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lastRenderedPageBreak/>
        <w:t xml:space="preserve">L’offerta è corredata, a pena di esclusione, da una garanzia provvisoria pari all’1% del valore complessivo dell’appalto e precisamente di importo </w:t>
      </w:r>
      <w:r w:rsidRPr="00EF4D3F">
        <w:rPr>
          <w:rFonts w:asciiTheme="majorHAnsi" w:eastAsia="Times New Roman" w:hAnsiTheme="majorHAnsi" w:cstheme="majorHAnsi"/>
          <w:lang w:eastAsia="zh-CN"/>
        </w:rPr>
        <w:t xml:space="preserve">pari ad € </w:t>
      </w:r>
      <w:r w:rsidR="00E27906" w:rsidRPr="00EF4D3F">
        <w:rPr>
          <w:rFonts w:asciiTheme="majorHAnsi" w:eastAsia="Times New Roman" w:hAnsiTheme="majorHAnsi" w:cstheme="majorHAnsi"/>
          <w:lang w:eastAsia="zh-CN"/>
        </w:rPr>
        <w:t>6.739,47,</w:t>
      </w:r>
      <w:r w:rsidRPr="00EF4D3F">
        <w:rPr>
          <w:rFonts w:asciiTheme="majorHAnsi" w:eastAsia="Times New Roman" w:hAnsiTheme="majorHAnsi" w:cstheme="majorHAnsi"/>
          <w:lang w:eastAsia="zh-CN"/>
        </w:rPr>
        <w:t xml:space="preserve"> a favore dell’Azienda</w:t>
      </w:r>
      <w:r w:rsidRPr="006477F3">
        <w:rPr>
          <w:rFonts w:asciiTheme="majorHAnsi" w:eastAsia="Times New Roman" w:hAnsiTheme="majorHAnsi" w:cstheme="majorHAnsi"/>
          <w:lang w:eastAsia="zh-CN"/>
        </w:rPr>
        <w:t xml:space="preserve"> Farmaceutica Municipale AFM S.R.L. </w:t>
      </w:r>
    </w:p>
    <w:p w14:paraId="4C6D6360" w14:textId="77777777" w:rsidR="004B0C29" w:rsidRPr="006477F3" w:rsidRDefault="004B0C29" w:rsidP="004B0C29">
      <w:pPr>
        <w:pStyle w:val="Nessunaspaziatura"/>
        <w:spacing w:line="276" w:lineRule="auto"/>
        <w:jc w:val="both"/>
        <w:rPr>
          <w:rFonts w:asciiTheme="majorHAnsi" w:eastAsia="Times New Roman" w:hAnsiTheme="majorHAnsi" w:cstheme="majorHAnsi"/>
          <w:lang w:eastAsia="zh-CN"/>
        </w:rPr>
      </w:pPr>
    </w:p>
    <w:p w14:paraId="1B8A2A6D" w14:textId="77777777" w:rsidR="004B0C29" w:rsidRPr="006477F3" w:rsidRDefault="004B0C29" w:rsidP="004B0C29">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Non si applicano le riduzioni di cui all’articolo 106, comma 8 del Codice.</w:t>
      </w:r>
    </w:p>
    <w:p w14:paraId="1E8A5531" w14:textId="77777777" w:rsidR="004B0C29" w:rsidRPr="006477F3" w:rsidRDefault="004B0C29" w:rsidP="004B0C29">
      <w:pPr>
        <w:pStyle w:val="Nessunaspaziatura"/>
        <w:spacing w:line="276" w:lineRule="auto"/>
        <w:jc w:val="both"/>
        <w:rPr>
          <w:rFonts w:asciiTheme="majorHAnsi" w:eastAsia="Times New Roman" w:hAnsiTheme="majorHAnsi" w:cstheme="majorHAnsi"/>
          <w:lang w:eastAsia="zh-CN"/>
        </w:rPr>
      </w:pPr>
    </w:p>
    <w:p w14:paraId="3BF2F81E" w14:textId="77777777" w:rsidR="004B0C29" w:rsidRPr="006477F3" w:rsidRDefault="004B0C29" w:rsidP="004B0C29">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La garanzia provvisoria è costituita, a scelta del concorrente sotto forma di cauzione o di fideiussione.</w:t>
      </w:r>
    </w:p>
    <w:p w14:paraId="73255D07" w14:textId="77777777" w:rsidR="004B0C29" w:rsidRPr="006477F3" w:rsidRDefault="004B0C29" w:rsidP="004B0C29">
      <w:pPr>
        <w:pStyle w:val="Nessunaspaziatura"/>
        <w:spacing w:line="276" w:lineRule="auto"/>
        <w:jc w:val="both"/>
        <w:rPr>
          <w:rFonts w:asciiTheme="majorHAnsi" w:eastAsia="Times New Roman" w:hAnsiTheme="majorHAnsi" w:cstheme="majorHAnsi"/>
          <w:lang w:eastAsia="zh-CN"/>
        </w:rPr>
      </w:pPr>
    </w:p>
    <w:p w14:paraId="7B6ED657" w14:textId="66CDB5BD" w:rsidR="004B0C29" w:rsidRPr="006477F3" w:rsidRDefault="004B0C29" w:rsidP="004B0C29">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 xml:space="preserve">La cauzione è costituita mediante accredito, con bonifico o con altri strumenti e canali di pagamento elettronici, presso il conto IBAN </w:t>
      </w:r>
      <w:r w:rsidR="00543FD6">
        <w:rPr>
          <w:rFonts w:asciiTheme="majorHAnsi" w:eastAsia="Times New Roman" w:hAnsiTheme="majorHAnsi" w:cstheme="majorHAnsi"/>
          <w:lang w:eastAsia="zh-CN"/>
        </w:rPr>
        <w:t>IT66K0503456746000000217666.</w:t>
      </w:r>
      <w:r w:rsidRPr="006477F3">
        <w:rPr>
          <w:rFonts w:asciiTheme="majorHAnsi" w:eastAsia="Times New Roman" w:hAnsiTheme="majorHAnsi" w:cstheme="majorHAnsi"/>
          <w:lang w:eastAsia="zh-CN"/>
        </w:rPr>
        <w:t xml:space="preserve"> Si precisa a pena di esclusione che la data di valuta di accredito del versamento non deve essere successiva alla data di scadenza di presentazione delle offerte.</w:t>
      </w:r>
    </w:p>
    <w:p w14:paraId="6621D119" w14:textId="77777777" w:rsidR="004B0C29" w:rsidRPr="006477F3" w:rsidRDefault="004B0C29" w:rsidP="004B0C29">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La fideiussione può essere rilasciata:</w:t>
      </w:r>
    </w:p>
    <w:p w14:paraId="3A5F91E9" w14:textId="302AFCED" w:rsidR="004B0C29" w:rsidRPr="006477F3" w:rsidRDefault="004B0C29" w:rsidP="00F46C90">
      <w:pPr>
        <w:pStyle w:val="Nessunaspaziatura"/>
        <w:spacing w:line="276" w:lineRule="auto"/>
        <w:ind w:left="705" w:hanging="705"/>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w:t>
      </w:r>
      <w:r w:rsidRPr="006477F3">
        <w:rPr>
          <w:rFonts w:asciiTheme="majorHAnsi" w:eastAsia="Times New Roman" w:hAnsiTheme="majorHAnsi" w:cstheme="majorHAnsi"/>
          <w:lang w:eastAsia="zh-CN"/>
        </w:rPr>
        <w:tab/>
        <w:t>da imprese bancarie o assicurative che rispondono ai requisiti di solvibilità previsti dalle leggi che ne disciplinano le rispettive attività</w:t>
      </w:r>
      <w:r w:rsidR="00F46C90">
        <w:rPr>
          <w:rFonts w:asciiTheme="majorHAnsi" w:eastAsia="Times New Roman" w:hAnsiTheme="majorHAnsi" w:cstheme="majorHAnsi"/>
          <w:lang w:eastAsia="zh-CN"/>
        </w:rPr>
        <w:t>;</w:t>
      </w:r>
    </w:p>
    <w:p w14:paraId="7F6D6BB6" w14:textId="77777777" w:rsidR="004B0C29" w:rsidRPr="006477F3" w:rsidRDefault="004B0C29" w:rsidP="00F46C90">
      <w:pPr>
        <w:pStyle w:val="Nessunaspaziatura"/>
        <w:spacing w:line="276" w:lineRule="auto"/>
        <w:ind w:left="705" w:hanging="705"/>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w:t>
      </w:r>
      <w:r w:rsidRPr="006477F3">
        <w:rPr>
          <w:rFonts w:asciiTheme="majorHAnsi" w:eastAsia="Times New Roman" w:hAnsiTheme="majorHAnsi" w:cstheme="majorHAnsi"/>
          <w:lang w:eastAsia="zh-CN"/>
        </w:rPr>
        <w:tab/>
        <w:t xml:space="preserve">da un intermediario finanziario iscritto nell'albo di cui all'articolo 106 del decreto legislativo </w:t>
      </w:r>
      <w:proofErr w:type="gramStart"/>
      <w:r w:rsidRPr="006477F3">
        <w:rPr>
          <w:rFonts w:asciiTheme="majorHAnsi" w:eastAsia="Times New Roman" w:hAnsiTheme="majorHAnsi" w:cstheme="majorHAnsi"/>
          <w:lang w:eastAsia="zh-CN"/>
        </w:rPr>
        <w:t>1 settembre</w:t>
      </w:r>
      <w:proofErr w:type="gramEnd"/>
      <w:r w:rsidRPr="006477F3">
        <w:rPr>
          <w:rFonts w:asciiTheme="majorHAnsi" w:eastAsia="Times New Roman" w:hAnsiTheme="majorHAnsi" w:cstheme="majorHAnsi"/>
          <w:lang w:eastAsia="zh-CN"/>
        </w:rPr>
        <w:t xml:space="preserve"> 1993, n. 385, che svolge in via esclusiva o prevalente attività di rilascio di garanzie, che è sottoposto a revisione contabile da parte di una società di revisione iscritta nell'albo previsto dall'articolo 161 del decreto legislativo 24 febbraio 1998, n. 58; e che abbia i requisiti minimi di solvibilità richiesti dalla vigente normativa bancaria assicurativa.</w:t>
      </w:r>
    </w:p>
    <w:p w14:paraId="23CA1DAE" w14:textId="77777777" w:rsidR="004B0C29" w:rsidRPr="006477F3" w:rsidRDefault="004B0C29" w:rsidP="004B0C29">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Gli operatori economici, prima di procedere alla sottoscrizione della garanzia, sono tenuti a verificare che il soggetto garante sia in possesso dell’autorizzazione al rilascio di garanzie mediante accesso ai seguenti siti internet:</w:t>
      </w:r>
    </w:p>
    <w:p w14:paraId="1BE159BB" w14:textId="4844AC95" w:rsidR="004B0C29" w:rsidRPr="006477F3" w:rsidRDefault="004B0C29" w:rsidP="004B0C29">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w:t>
      </w:r>
      <w:r w:rsidRPr="006477F3">
        <w:rPr>
          <w:rFonts w:asciiTheme="majorHAnsi" w:eastAsia="Times New Roman" w:hAnsiTheme="majorHAnsi" w:cstheme="majorHAnsi"/>
          <w:lang w:eastAsia="zh-CN"/>
        </w:rPr>
        <w:tab/>
      </w:r>
      <w:hyperlink r:id="rId18" w:history="1">
        <w:r w:rsidRPr="006477F3">
          <w:rPr>
            <w:rStyle w:val="Collegamentoipertestuale"/>
            <w:rFonts w:asciiTheme="majorHAnsi" w:eastAsia="Times New Roman" w:hAnsiTheme="majorHAnsi" w:cstheme="majorHAnsi"/>
            <w:lang w:eastAsia="zh-CN"/>
          </w:rPr>
          <w:t>http://www.bancaditalia.it/compiti/vigilanza/intermediari/index.html</w:t>
        </w:r>
      </w:hyperlink>
      <w:r w:rsidRPr="006477F3">
        <w:rPr>
          <w:rFonts w:asciiTheme="majorHAnsi" w:eastAsia="Times New Roman" w:hAnsiTheme="majorHAnsi" w:cstheme="majorHAnsi"/>
          <w:lang w:eastAsia="zh-CN"/>
        </w:rPr>
        <w:t xml:space="preserve"> </w:t>
      </w:r>
    </w:p>
    <w:p w14:paraId="2F3C1348" w14:textId="5F1FAD88" w:rsidR="004B0C29" w:rsidRPr="006477F3" w:rsidRDefault="004B0C29" w:rsidP="004B0C29">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w:t>
      </w:r>
      <w:r w:rsidRPr="006477F3">
        <w:rPr>
          <w:rFonts w:asciiTheme="majorHAnsi" w:eastAsia="Times New Roman" w:hAnsiTheme="majorHAnsi" w:cstheme="majorHAnsi"/>
          <w:lang w:eastAsia="zh-CN"/>
        </w:rPr>
        <w:tab/>
      </w:r>
      <w:hyperlink r:id="rId19" w:history="1">
        <w:r w:rsidRPr="006477F3">
          <w:rPr>
            <w:rStyle w:val="Collegamentoipertestuale"/>
            <w:rFonts w:asciiTheme="majorHAnsi" w:eastAsia="Times New Roman" w:hAnsiTheme="majorHAnsi" w:cstheme="majorHAnsi"/>
            <w:lang w:eastAsia="zh-CN"/>
          </w:rPr>
          <w:t>http://www.bancaditalia.it/compiti/vigilanza/avvisi-pub/garanzie-finanziarie/</w:t>
        </w:r>
      </w:hyperlink>
      <w:r w:rsidRPr="006477F3">
        <w:rPr>
          <w:rFonts w:asciiTheme="majorHAnsi" w:eastAsia="Times New Roman" w:hAnsiTheme="majorHAnsi" w:cstheme="majorHAnsi"/>
          <w:lang w:eastAsia="zh-CN"/>
        </w:rPr>
        <w:t xml:space="preserve"> </w:t>
      </w:r>
    </w:p>
    <w:p w14:paraId="2EBC7B69" w14:textId="0162D687" w:rsidR="004B0C29" w:rsidRPr="006477F3" w:rsidRDefault="004B0C29" w:rsidP="004B0C29">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w:t>
      </w:r>
      <w:r w:rsidRPr="006477F3">
        <w:rPr>
          <w:rFonts w:asciiTheme="majorHAnsi" w:eastAsia="Times New Roman" w:hAnsiTheme="majorHAnsi" w:cstheme="majorHAnsi"/>
          <w:lang w:eastAsia="zh-CN"/>
        </w:rPr>
        <w:tab/>
      </w:r>
      <w:hyperlink r:id="rId20" w:history="1">
        <w:r w:rsidRPr="006477F3">
          <w:rPr>
            <w:rStyle w:val="Collegamentoipertestuale"/>
            <w:rFonts w:asciiTheme="majorHAnsi" w:eastAsia="Times New Roman" w:hAnsiTheme="majorHAnsi" w:cstheme="majorHAnsi"/>
            <w:lang w:eastAsia="zh-CN"/>
          </w:rPr>
          <w:t>http://www.ivass.it/ivass/imprese_jsp/HomePage.jsp</w:t>
        </w:r>
      </w:hyperlink>
      <w:r w:rsidRPr="006477F3">
        <w:rPr>
          <w:rFonts w:asciiTheme="majorHAnsi" w:eastAsia="Times New Roman" w:hAnsiTheme="majorHAnsi" w:cstheme="majorHAnsi"/>
          <w:lang w:eastAsia="zh-CN"/>
        </w:rPr>
        <w:t xml:space="preserve"> </w:t>
      </w:r>
    </w:p>
    <w:p w14:paraId="4A8A83F8" w14:textId="77777777" w:rsidR="004B0C29" w:rsidRPr="006477F3" w:rsidRDefault="004B0C29" w:rsidP="004B0C29">
      <w:pPr>
        <w:pStyle w:val="Nessunaspaziatura"/>
        <w:spacing w:line="276" w:lineRule="auto"/>
        <w:jc w:val="both"/>
        <w:rPr>
          <w:rFonts w:asciiTheme="majorHAnsi" w:eastAsia="Times New Roman" w:hAnsiTheme="majorHAnsi" w:cstheme="majorHAnsi"/>
          <w:lang w:eastAsia="zh-CN"/>
        </w:rPr>
      </w:pPr>
    </w:p>
    <w:p w14:paraId="706AC74D" w14:textId="77777777" w:rsidR="004B0C29" w:rsidRPr="006477F3" w:rsidRDefault="004B0C29" w:rsidP="00DB09C5">
      <w:pPr>
        <w:pStyle w:val="Nessunaspaziatura"/>
        <w:spacing w:line="276" w:lineRule="auto"/>
        <w:rPr>
          <w:rFonts w:asciiTheme="majorHAnsi" w:eastAsia="Times New Roman" w:hAnsiTheme="majorHAnsi" w:cstheme="majorHAnsi"/>
          <w:b/>
          <w:bCs/>
          <w:lang w:eastAsia="zh-CN"/>
        </w:rPr>
      </w:pPr>
    </w:p>
    <w:p w14:paraId="4B03BAA2" w14:textId="77777777"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b/>
          <w:bCs/>
          <w:lang w:eastAsia="zh-CN"/>
        </w:rPr>
        <w:t>La fideiussione deve</w:t>
      </w:r>
      <w:r w:rsidRPr="006477F3">
        <w:rPr>
          <w:rFonts w:asciiTheme="majorHAnsi" w:eastAsia="Times New Roman" w:hAnsiTheme="majorHAnsi" w:cstheme="majorHAnsi"/>
          <w:lang w:eastAsia="zh-CN"/>
        </w:rPr>
        <w:t>:</w:t>
      </w:r>
    </w:p>
    <w:p w14:paraId="691BA4E7" w14:textId="2BCB903C" w:rsidR="00E27906" w:rsidRPr="006477F3" w:rsidRDefault="00E27906" w:rsidP="0069424C">
      <w:pPr>
        <w:pStyle w:val="Nessunaspaziatura"/>
        <w:numPr>
          <w:ilvl w:val="0"/>
          <w:numId w:val="15"/>
        </w:numPr>
        <w:spacing w:line="276" w:lineRule="auto"/>
        <w:ind w:left="426" w:hanging="426"/>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contenere espressa menzione dell’oggetto del contratto di appalto e del soggetto garantito (stazione appaltante);</w:t>
      </w:r>
    </w:p>
    <w:p w14:paraId="649219C4" w14:textId="13A70254" w:rsidR="00E27906" w:rsidRPr="006477F3" w:rsidRDefault="00E27906" w:rsidP="0069424C">
      <w:pPr>
        <w:pStyle w:val="Nessunaspaziatura"/>
        <w:numPr>
          <w:ilvl w:val="0"/>
          <w:numId w:val="15"/>
        </w:numPr>
        <w:spacing w:line="276" w:lineRule="auto"/>
        <w:ind w:left="426" w:hanging="426"/>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essere intestata a tutti gli operatori economici del costituito/costituendo raggruppamento temporaneo o consorzio ordinario o GEIE, ovvero a tutte le imprese retiste che partecipano alla gara ovvero, in caso di consorzi di cui all’articolo 65, comma 2, lett. b), c) d), del Codice, al solo consorzio;</w:t>
      </w:r>
    </w:p>
    <w:p w14:paraId="53F36AF7" w14:textId="09110917" w:rsidR="00E27906" w:rsidRPr="006477F3" w:rsidRDefault="00E27906" w:rsidP="0069424C">
      <w:pPr>
        <w:pStyle w:val="Nessunaspaziatura"/>
        <w:numPr>
          <w:ilvl w:val="0"/>
          <w:numId w:val="15"/>
        </w:numPr>
        <w:spacing w:line="276" w:lineRule="auto"/>
        <w:ind w:left="426" w:hanging="426"/>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essere conforme allo schema tipo approvato con decreto del Ministro dello sviluppo economico del 16 settembre 2022 n. 193;</w:t>
      </w:r>
    </w:p>
    <w:p w14:paraId="3C5B5BC0" w14:textId="6D967026" w:rsidR="00E27906" w:rsidRPr="006477F3" w:rsidRDefault="00E27906" w:rsidP="0069424C">
      <w:pPr>
        <w:pStyle w:val="Nessunaspaziatura"/>
        <w:numPr>
          <w:ilvl w:val="0"/>
          <w:numId w:val="15"/>
        </w:numPr>
        <w:spacing w:line="276" w:lineRule="auto"/>
        <w:ind w:left="426" w:hanging="426"/>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avere validità per 180 giorni dalla data di presentazione dell’offerta;</w:t>
      </w:r>
    </w:p>
    <w:p w14:paraId="17DB9C4F" w14:textId="3F5955DE" w:rsidR="00E27906" w:rsidRPr="006477F3" w:rsidRDefault="00E27906" w:rsidP="0069424C">
      <w:pPr>
        <w:pStyle w:val="Nessunaspaziatura"/>
        <w:numPr>
          <w:ilvl w:val="0"/>
          <w:numId w:val="15"/>
        </w:numPr>
        <w:spacing w:line="276" w:lineRule="auto"/>
        <w:ind w:left="426" w:hanging="426"/>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lastRenderedPageBreak/>
        <w:t>prevedere espressamente:</w:t>
      </w:r>
    </w:p>
    <w:p w14:paraId="5F084815" w14:textId="6E426DE4" w:rsidR="00E27906" w:rsidRPr="006477F3" w:rsidRDefault="00E27906" w:rsidP="0069424C">
      <w:pPr>
        <w:pStyle w:val="Nessunaspaziatura"/>
        <w:numPr>
          <w:ilvl w:val="0"/>
          <w:numId w:val="14"/>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la rinuncia al beneficio della preventiva escussione del debitore principale di cui all’articolo 1944 del Codice civile;</w:t>
      </w:r>
    </w:p>
    <w:p w14:paraId="5BC22F1C" w14:textId="0F7D8C82" w:rsidR="00E27906" w:rsidRPr="006477F3" w:rsidRDefault="00E27906" w:rsidP="0069424C">
      <w:pPr>
        <w:pStyle w:val="Nessunaspaziatura"/>
        <w:numPr>
          <w:ilvl w:val="0"/>
          <w:numId w:val="14"/>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la rinuncia ad eccepire la decorrenza dei termini di cui all’articolo 1957, secondo comma, del Codice civile;</w:t>
      </w:r>
    </w:p>
    <w:p w14:paraId="43962B13" w14:textId="5E83FFFC" w:rsidR="00E27906" w:rsidRPr="006477F3" w:rsidRDefault="00E27906" w:rsidP="0069424C">
      <w:pPr>
        <w:pStyle w:val="Nessunaspaziatura"/>
        <w:numPr>
          <w:ilvl w:val="0"/>
          <w:numId w:val="14"/>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l’operatività della stessa entro quindici giorni a semplice richiesta scritta della stazione appaltante.</w:t>
      </w:r>
    </w:p>
    <w:p w14:paraId="72FF52F0" w14:textId="6B2253C5"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La fideiussione deve essere emessa e firmata digitalmente da un soggetto in possesso dei poteri necessari per impegnare il garante.</w:t>
      </w:r>
      <w:r w:rsidR="00EF4D3F">
        <w:rPr>
          <w:rFonts w:asciiTheme="majorHAnsi" w:eastAsia="Times New Roman" w:hAnsiTheme="majorHAnsi" w:cstheme="majorHAnsi"/>
          <w:lang w:eastAsia="zh-CN"/>
        </w:rPr>
        <w:t xml:space="preserve"> </w:t>
      </w:r>
      <w:proofErr w:type="gramStart"/>
      <w:r w:rsidR="00EF4D3F" w:rsidRPr="00EF4D3F">
        <w:rPr>
          <w:rFonts w:asciiTheme="majorHAnsi" w:eastAsia="Times New Roman" w:hAnsiTheme="majorHAnsi" w:cstheme="majorHAnsi"/>
          <w:lang w:eastAsia="zh-CN"/>
        </w:rPr>
        <w:t>E’</w:t>
      </w:r>
      <w:proofErr w:type="gramEnd"/>
      <w:r w:rsidR="00EF4D3F" w:rsidRPr="00EF4D3F">
        <w:rPr>
          <w:rFonts w:asciiTheme="majorHAnsi" w:eastAsia="Times New Roman" w:hAnsiTheme="majorHAnsi" w:cstheme="majorHAnsi"/>
          <w:lang w:eastAsia="zh-CN"/>
        </w:rPr>
        <w:t xml:space="preserve"> necessario allegare all’interno della </w:t>
      </w:r>
      <w:r w:rsidR="00EF4D3F" w:rsidRPr="00EF4D3F">
        <w:rPr>
          <w:rFonts w:asciiTheme="majorHAnsi" w:eastAsia="Times New Roman" w:hAnsiTheme="majorHAnsi" w:cstheme="majorHAnsi"/>
          <w:b/>
          <w:bCs/>
          <w:lang w:eastAsia="zh-CN"/>
        </w:rPr>
        <w:t>documentazione amministrativa la relativa autodichiarazione, ovvero copia della procura.</w:t>
      </w:r>
    </w:p>
    <w:p w14:paraId="096B074D" w14:textId="0597B29A"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L’operatore economico presenta una garanzia fideiussoria verificabile telematicamente presso l’emittente, indicando nella domanda il sito internet presso il quale è possibile verificare la garanzia. Nel caso in cui il garante non disponga di un sito internet con le caratteristiche suindicate, fornisce un indirizzo PEC dedicato cui le stazioni appaltanti e gli enti concedenti inviano la polizza presentata in gara, in formato pdf, per il riscontro di autenticità e veridicità. Le imprese di assicurazione comunitarie operanti in Italia in regime di libera prestazione di servizi che non dispongano di un sito internet per la verifica delle garanzie rilasciate, nelle more della disponibilità della PEC europea, si dotano di un indirizzo PEC italiano.</w:t>
      </w:r>
    </w:p>
    <w:p w14:paraId="6A03C67F" w14:textId="77777777"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Nel caso di utilizzo della verifica a mezzo PEC, l’operatore economico acquisisce l’impegno del garante a riscontrare le richieste pervenute dalla stazione appaltante nel termine massimo di cinque giorni lavorativi.</w:t>
      </w:r>
    </w:p>
    <w:p w14:paraId="2DE2F8D0" w14:textId="77777777"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L’indirizzo Internet o l’eventuale indirizzo PEC da utilizzare ai fini delle verifiche sono indicati dal garante nella documentazione contrattuale o, in mancanza, riportati dall’operatore economico nella domanda di partecipazione. La mancata indicazione è sanabile con la procedura di soccorso istruttorio, purché la garanzia sia stata emessa prima della scadenza del termine per la presentazione delle offerte.</w:t>
      </w:r>
    </w:p>
    <w:p w14:paraId="751745D4" w14:textId="77777777"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p>
    <w:p w14:paraId="77701502" w14:textId="77777777"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In caso di richiesta di estensione della durata e validità dell’offerta e della garanzia fideiussoria, il concorrente potrà produrre nelle medesime forme di cui sopra una nuova garanzia provvisoria del medesimo o di altro garante, in sostituzione della precedente, a condizione che abbia espressa decorrenza dalla data di presentazione dell’offerta.</w:t>
      </w:r>
    </w:p>
    <w:p w14:paraId="21E2D894" w14:textId="77777777"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In caso di costituzione della cauzione mediante bonifico o altri strumenti e canali di pagamento elettronici previsti dall'ordinamento vigente il concorrente deve inserire sulla Piattaforma il documento che attesti l’avvenuto versamento in una delle forme di seguito indicate:</w:t>
      </w:r>
    </w:p>
    <w:p w14:paraId="169B5A25" w14:textId="0B49AB03" w:rsidR="00E27906" w:rsidRPr="006477F3" w:rsidRDefault="00E27906" w:rsidP="0069424C">
      <w:pPr>
        <w:pStyle w:val="Nessunaspaziatura"/>
        <w:numPr>
          <w:ilvl w:val="0"/>
          <w:numId w:val="13"/>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originale informatico, ai sensi dell’articolo 1, lett. p) del d.lgs. 7 marzo 2005, n. 82, sottoscritto con firma digitale, o altro tipo di firma elettronica qualificata dal soggetto in possesso dei poteri necessari per impegnare il garante;</w:t>
      </w:r>
    </w:p>
    <w:p w14:paraId="60DDEFA4" w14:textId="24323A7A" w:rsidR="00E27906" w:rsidRPr="006477F3" w:rsidRDefault="00E27906" w:rsidP="0069424C">
      <w:pPr>
        <w:pStyle w:val="Nessunaspaziatura"/>
        <w:numPr>
          <w:ilvl w:val="0"/>
          <w:numId w:val="13"/>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in copia informatica di documento analogico (scansione di documento cartaceo) secondo le modalità previste dall’articolo 22, commi 1 e 2, del d.lgs. n. 82/2005;</w:t>
      </w:r>
    </w:p>
    <w:p w14:paraId="3D3F5B3E" w14:textId="35FA307D" w:rsidR="00E27906" w:rsidRPr="006477F3" w:rsidRDefault="00E27906" w:rsidP="0069424C">
      <w:pPr>
        <w:pStyle w:val="Nessunaspaziatura"/>
        <w:numPr>
          <w:ilvl w:val="0"/>
          <w:numId w:val="13"/>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lastRenderedPageBreak/>
        <w:t>in duplicato informatico dell’originale informatico conforme alle disposizioni dell’articolo 23-bis del D.lgs. n.82/2005.</w:t>
      </w:r>
    </w:p>
    <w:p w14:paraId="429C2C3F" w14:textId="77777777"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Il documento deve indicare il nominativo dell’operatore economico che ha operato il versamento stesso.</w:t>
      </w:r>
    </w:p>
    <w:p w14:paraId="1C545E5D" w14:textId="77777777"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p>
    <w:p w14:paraId="5FA0532A" w14:textId="77777777"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È sanabile, mediante soccorso istruttorio, la mancata presentazione della garanzia provvisoria solo a condizione che sia stata già costituita prima della presentazione dell’offerta.</w:t>
      </w:r>
    </w:p>
    <w:p w14:paraId="24A34EF2" w14:textId="77777777"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Ai sensi dell’art. 20 del D.Lgs. 82/2005, la data e l’ora di formazione del documento informatico sono opponibili ai terzi se apposte in conformità a quanto previsto dal medesimo art. 20 (es.: marcatura temporale).</w:t>
      </w:r>
    </w:p>
    <w:p w14:paraId="281867D7" w14:textId="77777777"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Non è sanabile - e quindi è causa di esclusione - la sottoscrizione della garanzia provvisoria da parte di un soggetto non legittimato a rilasciare la garanzia o non autorizzato ad impegnare il garante.</w:t>
      </w:r>
    </w:p>
    <w:p w14:paraId="694B3224" w14:textId="77777777" w:rsidR="00E27906" w:rsidRPr="006477F3" w:rsidRDefault="00E27906" w:rsidP="00DB09C5">
      <w:pPr>
        <w:pStyle w:val="Nessunaspaziatura"/>
        <w:spacing w:line="276" w:lineRule="auto"/>
        <w:rPr>
          <w:rFonts w:asciiTheme="majorHAnsi" w:eastAsia="Times New Roman" w:hAnsiTheme="majorHAnsi" w:cstheme="majorHAnsi"/>
          <w:b/>
          <w:bCs/>
          <w:lang w:eastAsia="zh-CN"/>
        </w:rPr>
      </w:pPr>
    </w:p>
    <w:p w14:paraId="14E13B40" w14:textId="5B2C370F" w:rsidR="00E27906" w:rsidRPr="006477F3" w:rsidRDefault="00E27906" w:rsidP="00DB09C5">
      <w:pPr>
        <w:pStyle w:val="Nessunaspaziatura"/>
        <w:spacing w:line="276" w:lineRule="auto"/>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11. SOPRALLUOGO</w:t>
      </w:r>
    </w:p>
    <w:p w14:paraId="3D2330F5" w14:textId="30C2258B" w:rsidR="00E27906" w:rsidRPr="006477F3" w:rsidRDefault="00FD2B2F" w:rsidP="00E27906">
      <w:pPr>
        <w:pStyle w:val="Nessunaspaziatura"/>
        <w:spacing w:line="276" w:lineRule="auto"/>
        <w:jc w:val="both"/>
        <w:rPr>
          <w:rFonts w:asciiTheme="majorHAnsi" w:eastAsia="Times New Roman" w:hAnsiTheme="majorHAnsi" w:cstheme="majorHAnsi"/>
          <w:lang w:eastAsia="zh-CN"/>
        </w:rPr>
      </w:pPr>
      <w:r>
        <w:rPr>
          <w:rFonts w:asciiTheme="majorHAnsi" w:eastAsia="Times New Roman" w:hAnsiTheme="majorHAnsi" w:cstheme="majorHAnsi"/>
          <w:lang w:eastAsia="zh-CN"/>
        </w:rPr>
        <w:t>Il sopralluogo è facoltativo.</w:t>
      </w:r>
    </w:p>
    <w:p w14:paraId="2151BF25" w14:textId="108FF9A7"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 xml:space="preserve">Eventuale richiesta di visita dei luoghi dovrà essere inoltrata esclusivamente al </w:t>
      </w:r>
      <w:r w:rsidRPr="00F76B47">
        <w:rPr>
          <w:rFonts w:asciiTheme="majorHAnsi" w:eastAsia="Times New Roman" w:hAnsiTheme="majorHAnsi" w:cstheme="majorHAnsi"/>
          <w:lang w:eastAsia="zh-CN"/>
        </w:rPr>
        <w:t>RUP dott.ssa Chiara Sanfelici</w:t>
      </w:r>
      <w:r w:rsidR="00F76B47" w:rsidRPr="00F76B47">
        <w:rPr>
          <w:rFonts w:asciiTheme="majorHAnsi" w:eastAsia="Times New Roman" w:hAnsiTheme="majorHAnsi" w:cstheme="majorHAnsi"/>
          <w:lang w:eastAsia="zh-CN"/>
        </w:rPr>
        <w:t xml:space="preserve"> </w:t>
      </w:r>
      <w:r w:rsidRPr="00F76B47">
        <w:rPr>
          <w:rFonts w:asciiTheme="majorHAnsi" w:eastAsia="Times New Roman" w:hAnsiTheme="majorHAnsi" w:cstheme="majorHAnsi"/>
          <w:lang w:eastAsia="zh-CN"/>
        </w:rPr>
        <w:t xml:space="preserve">tel. </w:t>
      </w:r>
      <w:r w:rsidR="00F76B47" w:rsidRPr="00F76B47">
        <w:rPr>
          <w:rFonts w:asciiTheme="majorHAnsi" w:eastAsia="Times New Roman" w:hAnsiTheme="majorHAnsi" w:cstheme="majorHAnsi"/>
          <w:lang w:eastAsia="zh-CN"/>
        </w:rPr>
        <w:t>0375.203325</w:t>
      </w:r>
      <w:r w:rsidRPr="00F76B47">
        <w:rPr>
          <w:rFonts w:asciiTheme="majorHAnsi" w:eastAsia="Times New Roman" w:hAnsiTheme="majorHAnsi" w:cstheme="majorHAnsi"/>
          <w:lang w:eastAsia="zh-CN"/>
        </w:rPr>
        <w:t xml:space="preserve">– </w:t>
      </w:r>
      <w:proofErr w:type="gramStart"/>
      <w:r w:rsidRPr="00F76B47">
        <w:rPr>
          <w:rFonts w:asciiTheme="majorHAnsi" w:eastAsia="Times New Roman" w:hAnsiTheme="majorHAnsi" w:cstheme="majorHAnsi"/>
          <w:lang w:eastAsia="zh-CN"/>
        </w:rPr>
        <w:t>email</w:t>
      </w:r>
      <w:proofErr w:type="gramEnd"/>
      <w:r w:rsidRPr="00F76B47">
        <w:rPr>
          <w:rFonts w:asciiTheme="majorHAnsi" w:eastAsia="Times New Roman" w:hAnsiTheme="majorHAnsi" w:cstheme="majorHAnsi"/>
          <w:lang w:eastAsia="zh-CN"/>
        </w:rPr>
        <w:t xml:space="preserve"> </w:t>
      </w:r>
      <w:hyperlink r:id="rId21" w:history="1">
        <w:r w:rsidR="00F76B47" w:rsidRPr="00F76B47">
          <w:rPr>
            <w:rStyle w:val="Collegamentoipertestuale"/>
            <w:rFonts w:asciiTheme="majorHAnsi" w:eastAsia="Times New Roman" w:hAnsiTheme="majorHAnsi" w:cstheme="majorHAnsi"/>
            <w:lang w:eastAsia="zh-CN"/>
          </w:rPr>
          <w:t>c.sanfelici@comune.casalmaggiore.cr.it</w:t>
        </w:r>
      </w:hyperlink>
      <w:r w:rsidR="00F76B47">
        <w:rPr>
          <w:rFonts w:asciiTheme="majorHAnsi" w:eastAsia="Times New Roman" w:hAnsiTheme="majorHAnsi" w:cstheme="majorHAnsi"/>
          <w:lang w:eastAsia="zh-CN"/>
        </w:rPr>
        <w:t xml:space="preserve"> </w:t>
      </w:r>
    </w:p>
    <w:p w14:paraId="773BBCDB" w14:textId="581EB326" w:rsidR="00E27906" w:rsidRPr="006477F3" w:rsidRDefault="00E27906" w:rsidP="00E27906">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riportando i seguenti dati dell’operatore economico: nominativo del concorrente; recapito telefonico; indirizzo e-mail; nominativo e qualifica della persona incaricata di effettuare il sopralluogo.</w:t>
      </w:r>
    </w:p>
    <w:p w14:paraId="28769D50" w14:textId="77777777" w:rsidR="00E27906" w:rsidRPr="006477F3" w:rsidRDefault="00E27906" w:rsidP="00DB09C5">
      <w:pPr>
        <w:pStyle w:val="Nessunaspaziatura"/>
        <w:spacing w:line="276" w:lineRule="auto"/>
        <w:rPr>
          <w:rFonts w:asciiTheme="majorHAnsi" w:eastAsia="Times New Roman" w:hAnsiTheme="majorHAnsi" w:cstheme="majorHAnsi"/>
          <w:b/>
          <w:bCs/>
          <w:lang w:eastAsia="zh-CN"/>
        </w:rPr>
      </w:pPr>
    </w:p>
    <w:p w14:paraId="1D20314D" w14:textId="5E115106" w:rsidR="00E27906" w:rsidRPr="006477F3" w:rsidRDefault="00E27906" w:rsidP="00DB09C5">
      <w:pPr>
        <w:pStyle w:val="Nessunaspaziatura"/>
        <w:spacing w:line="276" w:lineRule="auto"/>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12. PAGAMENTI DEL CONTRIBUTO A FAVORE DELL’ANAC</w:t>
      </w:r>
    </w:p>
    <w:p w14:paraId="4DC13749" w14:textId="2CAC1142"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 xml:space="preserve">I concorrenti effettuano il pagamento del contributo previsto dalla legge in favore dell’Autorità Nazionale Anticorruzione per un importo pari a </w:t>
      </w:r>
      <w:r w:rsidRPr="00325798">
        <w:rPr>
          <w:rFonts w:asciiTheme="majorHAnsi" w:eastAsia="Times New Roman" w:hAnsiTheme="majorHAnsi" w:cstheme="majorHAnsi"/>
          <w:lang w:eastAsia="zh-CN"/>
        </w:rPr>
        <w:t>€ 77,00 s</w:t>
      </w:r>
      <w:r w:rsidRPr="006477F3">
        <w:rPr>
          <w:rFonts w:asciiTheme="majorHAnsi" w:eastAsia="Times New Roman" w:hAnsiTheme="majorHAnsi" w:cstheme="majorHAnsi"/>
          <w:lang w:eastAsia="zh-CN"/>
        </w:rPr>
        <w:t>econdo le modalità di cui alla delibera ANAC n. 598 del 30.12.2024 pubblicata al seguente https://www.anticorruzione.it/-/gestione- contributi-gara]. Il pagamento del contributo è condizione di ammissibilità dell’offerta.</w:t>
      </w:r>
    </w:p>
    <w:p w14:paraId="0872DA91"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A comprova del versamento i concorrenti allegano (nella busta documentazione) copia in formato elettronico della documentazione comprovante l’avvenuto versamento del contributo a favore dell’A.N.A.C., corredata da dichiarazione che tale copia è stata formata a norma dell’art. 22 co 3 del D.Lgs. n. 82/2005 (Copie informatiche di documenti analogici) e/o dell’art. 23-bis del D.Lgs. n. 82/2005 (Duplicati e copie informatiche di documenti informatici) e nel rispetto delle regole tecniche di cui all’art. 71 del medesimo D.Lgs. n. 82/2005, (lo schema di dichiarazione di copia conforme, unico per tutti i documenti, è già predisposto all’interno del modello dichiarazioni).</w:t>
      </w:r>
    </w:p>
    <w:p w14:paraId="3937A77F"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 xml:space="preserve"> </w:t>
      </w:r>
    </w:p>
    <w:p w14:paraId="27217D2B"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In caso di mancata presentazione della ricevuta la stazione appaltante –ove consentito- - accerta il pagamento del contributo mediante consultazione del Portale Pagamenti ANAC.</w:t>
      </w:r>
    </w:p>
    <w:p w14:paraId="4ACB9FC8"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 xml:space="preserve">Qualora il pagamento non risulti registrato nel sistema, la stazione appaltante richiede, mediante soccorso istruttorio la presentazione della ricevuta di avvenuto pagamento. L’operatore </w:t>
      </w:r>
      <w:r w:rsidRPr="006477F3">
        <w:rPr>
          <w:rFonts w:asciiTheme="majorHAnsi" w:eastAsia="Times New Roman" w:hAnsiTheme="majorHAnsi" w:cstheme="majorHAnsi"/>
          <w:lang w:eastAsia="zh-CN"/>
        </w:rPr>
        <w:lastRenderedPageBreak/>
        <w:t>economico che non adempia alla richiesta nel termine stabilito dalla stazione appaltante è escluso dalla procedura di gara per inammissibilità dell’offerta.</w:t>
      </w:r>
    </w:p>
    <w:p w14:paraId="2098B7F9" w14:textId="77777777" w:rsidR="00142C08" w:rsidRPr="006477F3" w:rsidRDefault="00142C08" w:rsidP="00142C08">
      <w:pPr>
        <w:pStyle w:val="Nessunaspaziatura"/>
        <w:spacing w:line="276" w:lineRule="auto"/>
        <w:rPr>
          <w:rFonts w:asciiTheme="majorHAnsi" w:eastAsia="Times New Roman" w:hAnsiTheme="majorHAnsi" w:cstheme="majorHAnsi"/>
          <w:lang w:eastAsia="zh-CN"/>
        </w:rPr>
      </w:pPr>
    </w:p>
    <w:p w14:paraId="1DD69C88" w14:textId="6F8BB063" w:rsidR="00142C08" w:rsidRPr="006477F3" w:rsidRDefault="00142C08" w:rsidP="00142C08">
      <w:pPr>
        <w:pStyle w:val="Nessunaspaziatura"/>
        <w:spacing w:line="276" w:lineRule="auto"/>
        <w:jc w:val="both"/>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13. MODALITA’ DI PRESENTAZIONE DELL’OFFERTA E SOTTOSCRIZIONE DEI DOCUMENTI</w:t>
      </w:r>
    </w:p>
    <w:p w14:paraId="4D3FD569" w14:textId="70DB306E"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L’offerta e la documentazione relativa alla procedura devono essere presentate esclusivamente attraverso la Piattaforma Sintel. Non sono considerate valide le offerte presentate attraverso modalità diverse da quelle previste nel</w:t>
      </w:r>
      <w:r w:rsidR="0047678A">
        <w:rPr>
          <w:rFonts w:asciiTheme="majorHAnsi" w:eastAsia="Times New Roman" w:hAnsiTheme="majorHAnsi" w:cstheme="majorHAnsi"/>
          <w:lang w:eastAsia="zh-CN"/>
        </w:rPr>
        <w:t>la</w:t>
      </w:r>
      <w:r w:rsidRPr="006477F3">
        <w:rPr>
          <w:rFonts w:asciiTheme="majorHAnsi" w:eastAsia="Times New Roman" w:hAnsiTheme="majorHAnsi" w:cstheme="majorHAnsi"/>
          <w:lang w:eastAsia="zh-CN"/>
        </w:rPr>
        <w:t xml:space="preserve"> presente </w:t>
      </w:r>
      <w:r w:rsidR="0047678A">
        <w:rPr>
          <w:rFonts w:asciiTheme="majorHAnsi" w:eastAsia="Times New Roman" w:hAnsiTheme="majorHAnsi" w:cstheme="majorHAnsi"/>
          <w:lang w:eastAsia="zh-CN"/>
        </w:rPr>
        <w:t>lettera di invito</w:t>
      </w:r>
      <w:r w:rsidRPr="006477F3">
        <w:rPr>
          <w:rFonts w:asciiTheme="majorHAnsi" w:eastAsia="Times New Roman" w:hAnsiTheme="majorHAnsi" w:cstheme="majorHAnsi"/>
          <w:lang w:eastAsia="zh-CN"/>
        </w:rPr>
        <w:t>.</w:t>
      </w:r>
    </w:p>
    <w:p w14:paraId="24EB0C57"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L’offerta e la documentazione devono essere sottoscritte con firma digitale o altra firma elettronica qualificata o firma elettronica avanzata.</w:t>
      </w:r>
    </w:p>
    <w:p w14:paraId="68452E5C"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Per l’apposizione della firma digitale si rinvia a quanto previsto dal D.Lgs. n.82/2005 nonché dalle regole tecniche/linee guida e dai provvedimenti adottati dal DigitPA/Agenzia per l’Italia Digitale; in particolare, i concorrenti devono utilizzare a pena di esclusione un certificato qualificato non scaduto di validità, non sospeso o revocato al momento dell’inoltro. Si invita pertanto a verificarne la corretta apposizione con gli strumenti allo scopo messi a disposizione dal proprio Ente certificatore.</w:t>
      </w:r>
    </w:p>
    <w:p w14:paraId="41106793"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Il Gestore di Sistema non è un ente certificatore riconosciuto da AgID; pertanto in nessun caso la verifica effettuata automaticamente dal portale, al momento del caricamento dei documenti, esonera la Stazione appaltante/l’Operatore economico dall’obbligo/onere di verificare la validità della firma mediante l’utilizzo di software messi a disposizione dagli Enti certificatori.</w:t>
      </w:r>
    </w:p>
    <w:p w14:paraId="2D623850"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Nell’ipotesi di sottoscrizione multipla di uno stesso documento (es.: offerta in caso di RTI o coamministratori con firma congiunta), si precisa che l’utilizzo della controfirma non equivale a sottoscrizione. La funzione di controfirma, ai sensi dell’art. 24, comma 1 lettera b, della Deliberazione Cnipa (ora Agenzia per l’Italia Digitale – ex DigitPa) n. 45/2009 e successive Linee guida contenenti regole tecniche adottate dall’AGID, ha infatti la finalità di apporre una firma digitale su una precedente firma (apposta da altro sottoscrittore) e non costituisce accettazione del documento.</w:t>
      </w:r>
    </w:p>
    <w:p w14:paraId="2C171A99"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Le dichiarazioni sostitutive si redigono ai sensi degli articoli 19, 46 e 47 del decreto del Presidente della Repubblica n. 445/2000, l’utilizzo della firma digitale non richiede di allegare la copia del documento di identità del dichiarante.</w:t>
      </w:r>
    </w:p>
    <w:p w14:paraId="0D6428A4"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La documentazione presentata in copia – ove ammessa - è accompagnata da dichiarazione di conformità all’originale ai sensi del decreto legislativo n. 82/05.</w:t>
      </w:r>
    </w:p>
    <w:p w14:paraId="5677D2E0"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È onere del concorrente comunicare tempestivamente eventuali variazioni dei dati dichiarati in sede di gara.</w:t>
      </w:r>
    </w:p>
    <w:p w14:paraId="4DE1B729"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 xml:space="preserve">L’offerta deve pervenire </w:t>
      </w:r>
      <w:r w:rsidRPr="006477F3">
        <w:rPr>
          <w:rFonts w:asciiTheme="majorHAnsi" w:eastAsia="Times New Roman" w:hAnsiTheme="majorHAnsi" w:cstheme="majorHAnsi"/>
          <w:b/>
          <w:bCs/>
          <w:lang w:eastAsia="zh-CN"/>
        </w:rPr>
        <w:t>entro e non il termine indicato in Piattaforma</w:t>
      </w:r>
      <w:r w:rsidRPr="006477F3">
        <w:rPr>
          <w:rFonts w:asciiTheme="majorHAnsi" w:eastAsia="Times New Roman" w:hAnsiTheme="majorHAnsi" w:cstheme="majorHAnsi"/>
          <w:lang w:eastAsia="zh-CN"/>
        </w:rPr>
        <w:t xml:space="preserve"> a pena di irricevibilità. La Piattaforma non accetta offerte presentate dopo la data e l’orario stabiliti come termine ultimo di presentazione dell’offerta. Della data e dell’ora di arrivo dell’offerta fa fede l’orario registrato dalla Piattaforma.</w:t>
      </w:r>
    </w:p>
    <w:p w14:paraId="673C8D4A"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lastRenderedPageBreak/>
        <w:t>Non saranno prese in considerazione le offerte telematiche che – pur se inviate entro il termine di scadenza previsto negli atti di gara - non pervengano entro il suddetto termine, ancorché aggiuntive o sostitutive di altra offerta telematica pervenuta nei termini.</w:t>
      </w:r>
    </w:p>
    <w:p w14:paraId="19053138"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 xml:space="preserve"> </w:t>
      </w:r>
    </w:p>
    <w:p w14:paraId="773DE2F1"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Nell’ambito della presente procedura di gara – tutti i termini di trasmissione fissati devono intendersi come termini di presentazione, ovvero termini entro cui la documentazione richiesta deve pervenire.</w:t>
      </w:r>
    </w:p>
    <w:p w14:paraId="1C384132"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p>
    <w:p w14:paraId="3529E891"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Le operazioni di inserimento sulla Piattaforma di tutta la documentazione richiesta rimangono ad esclusivo rischio del concorrente. Si invitano pertanto i concorrenti ad avviare tali attività (procedimento di caricamento (upload) e trasmissione della propria offerta) con congruo anticipo rispetto alla scadenza prevista onde evitare la non completa e quindi mancata trasmissione dell’offerta entro il termine previsto.</w:t>
      </w:r>
    </w:p>
    <w:p w14:paraId="66D07A1B"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p>
    <w:p w14:paraId="5CBDFDCF" w14:textId="0CFB4A8D" w:rsidR="00142C08" w:rsidRPr="006477F3" w:rsidRDefault="00142C08" w:rsidP="00142C08">
      <w:pPr>
        <w:pStyle w:val="Nessunaspaziatura"/>
        <w:spacing w:line="276" w:lineRule="auto"/>
        <w:jc w:val="both"/>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Il semplice caricamento (upload) della documentazione di offerta sul sistema di acquisti telematici non comporta l’invio dell’offerta alla Stazione appaltante. Il concorrente dovrà verificare di avere completato tutti i passaggi richiesti dal sistema di acquisti telematici per procedere all’invio dell’offerta.</w:t>
      </w:r>
    </w:p>
    <w:p w14:paraId="1E83F066"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p>
    <w:p w14:paraId="7FBECAF5"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Qualora si verifichi un mancato funzionamento o un malfunzionamento della Piattaforma si applica quanto previsto al paragrafo 1.1.</w:t>
      </w:r>
    </w:p>
    <w:p w14:paraId="557D1443"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p>
    <w:p w14:paraId="3A7F2089" w14:textId="77777777" w:rsidR="00142C08" w:rsidRPr="006477F3" w:rsidRDefault="00142C08" w:rsidP="00142C08">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Si precisa:</w:t>
      </w:r>
    </w:p>
    <w:p w14:paraId="3A100B93" w14:textId="77777777" w:rsidR="00142C08" w:rsidRPr="006477F3" w:rsidRDefault="00142C08" w:rsidP="00F46C90">
      <w:pPr>
        <w:pStyle w:val="Nessunaspaziatura"/>
        <w:spacing w:line="276" w:lineRule="auto"/>
        <w:ind w:left="705" w:hanging="705"/>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w:t>
      </w:r>
      <w:r w:rsidRPr="006477F3">
        <w:rPr>
          <w:rFonts w:asciiTheme="majorHAnsi" w:eastAsia="Times New Roman" w:hAnsiTheme="majorHAnsi" w:cstheme="majorHAnsi"/>
          <w:lang w:eastAsia="zh-CN"/>
        </w:rPr>
        <w:tab/>
        <w:t>in ciascun campo a disposizione per l’upload, è consentito il caricamento di documenti (file, anche sotto forma di cartella compressa) con dimensioni superiori a 0 byte (non sono quindi accettati file completamente vuoti), ed inferiori ai 100 Mbyte (140 Mbyte nel caso di procedura per l’affidamento di lavori pubblici). Si rinvia a quanto previsto dal documento Modalità tecniche di utilizzo della Piattaforma Sintel.</w:t>
      </w:r>
    </w:p>
    <w:p w14:paraId="1498DE25" w14:textId="77777777" w:rsidR="00142C08" w:rsidRPr="006477F3" w:rsidRDefault="00142C08" w:rsidP="00F46C90">
      <w:pPr>
        <w:pStyle w:val="Nessunaspaziatura"/>
        <w:spacing w:line="276" w:lineRule="auto"/>
        <w:ind w:left="705" w:hanging="705"/>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w:t>
      </w:r>
      <w:r w:rsidRPr="006477F3">
        <w:rPr>
          <w:rFonts w:asciiTheme="majorHAnsi" w:eastAsia="Times New Roman" w:hAnsiTheme="majorHAnsi" w:cstheme="majorHAnsi"/>
          <w:lang w:eastAsia="zh-CN"/>
        </w:rPr>
        <w:tab/>
        <w:t>tutti file allegati e/o costituenti l’offerta devono essere in formato pdf/A, se non diversamente prescritto. Tuttavia, è possibile utilizzare anche le seguenti estensioni nel rispetto, comunque, delle disposizioni normative e regole tecniche di settore tra cui quelle previste dal DPCM del 22.02.2013:</w:t>
      </w:r>
    </w:p>
    <w:p w14:paraId="478EFFD1" w14:textId="6FAE2411" w:rsidR="00142C08" w:rsidRPr="006477F3" w:rsidRDefault="00142C08" w:rsidP="0069424C">
      <w:pPr>
        <w:pStyle w:val="Nessunaspaziatura"/>
        <w:numPr>
          <w:ilvl w:val="0"/>
          <w:numId w:val="71"/>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.pdf -.jpg - .tiff - .bmp;</w:t>
      </w:r>
    </w:p>
    <w:p w14:paraId="53F8CE9D" w14:textId="58E0718A" w:rsidR="00142C08" w:rsidRPr="006477F3" w:rsidRDefault="00142C08" w:rsidP="0069424C">
      <w:pPr>
        <w:pStyle w:val="Nessunaspaziatura"/>
        <w:numPr>
          <w:ilvl w:val="0"/>
          <w:numId w:val="71"/>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.doc -.xls - .docx -.xlsx -.odt- .ods;</w:t>
      </w:r>
    </w:p>
    <w:p w14:paraId="3CEF3524" w14:textId="3F965203" w:rsidR="00E27906" w:rsidRPr="006477F3" w:rsidRDefault="00142C08" w:rsidP="0069424C">
      <w:pPr>
        <w:pStyle w:val="Nessunaspaziatura"/>
        <w:numPr>
          <w:ilvl w:val="0"/>
          <w:numId w:val="71"/>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files in formati diversi da quelli sopra indicati saranno ammessi solo previa autorizzazione.</w:t>
      </w:r>
    </w:p>
    <w:p w14:paraId="21583EAB" w14:textId="77777777" w:rsidR="00E27906" w:rsidRPr="006477F3" w:rsidRDefault="00E27906" w:rsidP="00DB09C5">
      <w:pPr>
        <w:pStyle w:val="Nessunaspaziatura"/>
        <w:spacing w:line="276" w:lineRule="auto"/>
        <w:rPr>
          <w:rFonts w:asciiTheme="majorHAnsi" w:eastAsia="Times New Roman" w:hAnsiTheme="majorHAnsi" w:cstheme="majorHAnsi"/>
          <w:b/>
          <w:bCs/>
          <w:lang w:eastAsia="zh-CN"/>
        </w:rPr>
      </w:pPr>
    </w:p>
    <w:p w14:paraId="635ACB4E" w14:textId="77777777" w:rsidR="003B5D62" w:rsidRPr="006477F3" w:rsidRDefault="003B5D62" w:rsidP="00DB09C5">
      <w:pPr>
        <w:pStyle w:val="Nessunaspaziatura"/>
        <w:spacing w:line="276" w:lineRule="auto"/>
        <w:rPr>
          <w:rFonts w:asciiTheme="majorHAnsi" w:eastAsia="Times New Roman" w:hAnsiTheme="majorHAnsi" w:cstheme="majorHAnsi"/>
          <w:b/>
          <w:bCs/>
          <w:lang w:eastAsia="zh-CN"/>
        </w:rPr>
      </w:pPr>
    </w:p>
    <w:p w14:paraId="411135FE" w14:textId="12C33B7E" w:rsidR="00E27906" w:rsidRPr="006477F3" w:rsidRDefault="003B5D62" w:rsidP="00DB09C5">
      <w:pPr>
        <w:pStyle w:val="Nessunaspaziatura"/>
        <w:spacing w:line="276" w:lineRule="auto"/>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13.1 REGOLE PER LA PRESENTAZIONE DELL’OFFERTA</w:t>
      </w:r>
    </w:p>
    <w:p w14:paraId="637ECE75" w14:textId="22D8168D" w:rsidR="003B5D62" w:rsidRPr="006477F3" w:rsidRDefault="003B5D62" w:rsidP="00E9548C">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lastRenderedPageBreak/>
        <w:t xml:space="preserve">Fermo restando le indicazioni tecniche riportate all’articolo 1 e nel documento </w:t>
      </w:r>
      <w:r w:rsidR="00E9548C">
        <w:rPr>
          <w:rFonts w:asciiTheme="majorHAnsi" w:eastAsia="Times New Roman" w:hAnsiTheme="majorHAnsi" w:cstheme="majorHAnsi"/>
          <w:lang w:eastAsia="zh-CN"/>
        </w:rPr>
        <w:t>“</w:t>
      </w:r>
      <w:r w:rsidRPr="006477F3">
        <w:rPr>
          <w:rFonts w:asciiTheme="majorHAnsi" w:eastAsia="Times New Roman" w:hAnsiTheme="majorHAnsi" w:cstheme="majorHAnsi"/>
          <w:lang w:eastAsia="zh-CN"/>
        </w:rPr>
        <w:t>Modalità tecniche di utilizzo della piattaforma Sintel</w:t>
      </w:r>
      <w:r w:rsidR="00E9548C">
        <w:rPr>
          <w:rFonts w:asciiTheme="majorHAnsi" w:eastAsia="Times New Roman" w:hAnsiTheme="majorHAnsi" w:cstheme="majorHAnsi"/>
          <w:lang w:eastAsia="zh-CN"/>
        </w:rPr>
        <w:t>”</w:t>
      </w:r>
      <w:r w:rsidRPr="006477F3">
        <w:rPr>
          <w:rFonts w:asciiTheme="majorHAnsi" w:eastAsia="Times New Roman" w:hAnsiTheme="majorHAnsi" w:cstheme="majorHAnsi"/>
          <w:lang w:eastAsia="zh-CN"/>
        </w:rPr>
        <w:t xml:space="preserve"> e nelle guide ivi richiamate, di seguito sono indicate le modalità di caricamento dell’offerta nella Piattaforma.</w:t>
      </w:r>
    </w:p>
    <w:p w14:paraId="60155309" w14:textId="550E894C" w:rsidR="00E27906" w:rsidRPr="006477F3" w:rsidRDefault="003B5D62" w:rsidP="00E9548C">
      <w:pPr>
        <w:pStyle w:val="Nessunaspaziatura"/>
        <w:spacing w:line="276" w:lineRule="auto"/>
        <w:jc w:val="both"/>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N.B. come precisato nel documento “Modalità tecniche di utilizzo” (cui si rimanda), qualora sia necessario allegare più di un file in uno dei campi predisposti, questi devono essere inclusi in un’unica cartella compressa in formato .zip (o equivalente). La cartella compressa non dovrà essere firmata digitalmente.</w:t>
      </w:r>
    </w:p>
    <w:p w14:paraId="238DF79A" w14:textId="77777777" w:rsidR="003B5D62" w:rsidRPr="006477F3" w:rsidRDefault="003B5D62" w:rsidP="00E9548C">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A livello operativo, per la presentazione dell’offerta telematica ciascun concorrente deve seguire la procedura di seguito indicata:</w:t>
      </w:r>
    </w:p>
    <w:p w14:paraId="1860A065" w14:textId="726AFC35" w:rsidR="003B5D62" w:rsidRPr="006477F3" w:rsidRDefault="003B5D62" w:rsidP="0069424C">
      <w:pPr>
        <w:pStyle w:val="Nessunaspaziatura"/>
        <w:numPr>
          <w:ilvl w:val="0"/>
          <w:numId w:val="19"/>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 xml:space="preserve">Accedere a Sintel, di cui all’indirizzo </w:t>
      </w:r>
      <w:hyperlink r:id="rId22" w:history="1">
        <w:r w:rsidR="00EF7CDE" w:rsidRPr="006477F3">
          <w:rPr>
            <w:rStyle w:val="Collegamentoipertestuale"/>
            <w:rFonts w:asciiTheme="majorHAnsi" w:eastAsia="Times New Roman" w:hAnsiTheme="majorHAnsi" w:cstheme="majorHAnsi"/>
            <w:lang w:eastAsia="zh-CN"/>
          </w:rPr>
          <w:t>www.ariaspa.it</w:t>
        </w:r>
      </w:hyperlink>
      <w:r w:rsidR="00EF7CDE" w:rsidRPr="006477F3">
        <w:rPr>
          <w:rFonts w:asciiTheme="majorHAnsi" w:eastAsia="Times New Roman" w:hAnsiTheme="majorHAnsi" w:cstheme="majorHAnsi"/>
          <w:lang w:eastAsia="zh-CN"/>
        </w:rPr>
        <w:t xml:space="preserve"> </w:t>
      </w:r>
    </w:p>
    <w:p w14:paraId="4DF6072D" w14:textId="550E073E" w:rsidR="003B5D62" w:rsidRPr="006477F3" w:rsidRDefault="003B5D62" w:rsidP="0069424C">
      <w:pPr>
        <w:pStyle w:val="Nessunaspaziatura"/>
        <w:numPr>
          <w:ilvl w:val="0"/>
          <w:numId w:val="19"/>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Accedere alla sezione “Procedure” ed individuare la gara di cui in oggetto;</w:t>
      </w:r>
    </w:p>
    <w:p w14:paraId="6C3578D0" w14:textId="6206362A" w:rsidR="003B5D62" w:rsidRPr="006477F3" w:rsidRDefault="003B5D62" w:rsidP="0069424C">
      <w:pPr>
        <w:pStyle w:val="Nessunaspaziatura"/>
        <w:numPr>
          <w:ilvl w:val="0"/>
          <w:numId w:val="19"/>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b/>
          <w:bCs/>
          <w:lang w:eastAsia="zh-CN"/>
        </w:rPr>
        <w:t>Cliccare</w:t>
      </w:r>
      <w:r w:rsidRPr="006477F3">
        <w:rPr>
          <w:rFonts w:asciiTheme="majorHAnsi" w:eastAsia="Times New Roman" w:hAnsiTheme="majorHAnsi" w:cstheme="majorHAnsi"/>
          <w:lang w:eastAsia="zh-CN"/>
        </w:rPr>
        <w:t xml:space="preserve"> su “</w:t>
      </w:r>
      <w:r w:rsidRPr="006477F3">
        <w:rPr>
          <w:rFonts w:asciiTheme="majorHAnsi" w:eastAsia="Times New Roman" w:hAnsiTheme="majorHAnsi" w:cstheme="majorHAnsi"/>
          <w:b/>
          <w:bCs/>
          <w:lang w:eastAsia="zh-CN"/>
        </w:rPr>
        <w:t>DETTAGLIO</w:t>
      </w:r>
      <w:r w:rsidRPr="006477F3">
        <w:rPr>
          <w:rFonts w:asciiTheme="majorHAnsi" w:eastAsia="Times New Roman" w:hAnsiTheme="majorHAnsi" w:cstheme="majorHAnsi"/>
          <w:lang w:eastAsia="zh-CN"/>
        </w:rPr>
        <w:t>” per visualizzare il menu interno e tutte le informazioni della procedura, gli atti di gara relativi alla presente fase con gli eventuali allegati, e chiarimenti pubblicati.</w:t>
      </w:r>
    </w:p>
    <w:p w14:paraId="5A68C077" w14:textId="192E7761" w:rsidR="003B5D62" w:rsidRPr="006477F3" w:rsidRDefault="003B5D62" w:rsidP="0069424C">
      <w:pPr>
        <w:pStyle w:val="Nessunaspaziatura"/>
        <w:numPr>
          <w:ilvl w:val="0"/>
          <w:numId w:val="19"/>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b/>
          <w:bCs/>
          <w:lang w:eastAsia="zh-CN"/>
        </w:rPr>
        <w:t>Creare</w:t>
      </w:r>
      <w:r w:rsidRPr="006477F3">
        <w:rPr>
          <w:rFonts w:asciiTheme="majorHAnsi" w:eastAsia="Times New Roman" w:hAnsiTheme="majorHAnsi" w:cstheme="majorHAnsi"/>
          <w:lang w:eastAsia="zh-CN"/>
        </w:rPr>
        <w:t>, dopo aver scelto la modalità di partecipazione, la propria offerta cliccando sul link “</w:t>
      </w:r>
      <w:r w:rsidRPr="006477F3">
        <w:rPr>
          <w:rFonts w:asciiTheme="majorHAnsi" w:eastAsia="Times New Roman" w:hAnsiTheme="majorHAnsi" w:cstheme="majorHAnsi"/>
          <w:b/>
          <w:bCs/>
          <w:lang w:eastAsia="zh-CN"/>
        </w:rPr>
        <w:t>INVIA OFFERTA</w:t>
      </w:r>
      <w:r w:rsidRPr="006477F3">
        <w:rPr>
          <w:rFonts w:asciiTheme="majorHAnsi" w:eastAsia="Times New Roman" w:hAnsiTheme="majorHAnsi" w:cstheme="majorHAnsi"/>
          <w:lang w:eastAsia="zh-CN"/>
        </w:rPr>
        <w:t>”; in questo modo il concorrente accede al percorso guidato previsto dal Sistema di negoziazione suddiviso in cinque 5 passi da compilare secondo le modalità riportate nel</w:t>
      </w:r>
      <w:r w:rsidR="0047678A">
        <w:rPr>
          <w:rFonts w:asciiTheme="majorHAnsi" w:eastAsia="Times New Roman" w:hAnsiTheme="majorHAnsi" w:cstheme="majorHAnsi"/>
          <w:lang w:eastAsia="zh-CN"/>
        </w:rPr>
        <w:t>la</w:t>
      </w:r>
      <w:r w:rsidRPr="006477F3">
        <w:rPr>
          <w:rFonts w:asciiTheme="majorHAnsi" w:eastAsia="Times New Roman" w:hAnsiTheme="majorHAnsi" w:cstheme="majorHAnsi"/>
          <w:lang w:eastAsia="zh-CN"/>
        </w:rPr>
        <w:t xml:space="preserve"> presente </w:t>
      </w:r>
      <w:r w:rsidR="0047678A">
        <w:rPr>
          <w:rFonts w:asciiTheme="majorHAnsi" w:eastAsia="Times New Roman" w:hAnsiTheme="majorHAnsi" w:cstheme="majorHAnsi"/>
          <w:lang w:eastAsia="zh-CN"/>
        </w:rPr>
        <w:t>lettera di invito</w:t>
      </w:r>
      <w:r w:rsidRPr="006477F3">
        <w:rPr>
          <w:rFonts w:asciiTheme="majorHAnsi" w:eastAsia="Times New Roman" w:hAnsiTheme="majorHAnsi" w:cstheme="majorHAnsi"/>
          <w:lang w:eastAsia="zh-CN"/>
        </w:rPr>
        <w:t>:</w:t>
      </w:r>
    </w:p>
    <w:p w14:paraId="7FAC8DA3" w14:textId="65A94E5B" w:rsidR="003B5D62" w:rsidRPr="006477F3" w:rsidRDefault="003B5D62" w:rsidP="0069424C">
      <w:pPr>
        <w:pStyle w:val="Nessunaspaziatura"/>
        <w:numPr>
          <w:ilvl w:val="0"/>
          <w:numId w:val="20"/>
        </w:numPr>
        <w:spacing w:line="276" w:lineRule="auto"/>
        <w:jc w:val="both"/>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Step 1 - busta amministrativa (vedasi art.15).</w:t>
      </w:r>
    </w:p>
    <w:p w14:paraId="19C2A273" w14:textId="6527CE4F" w:rsidR="003B5D62" w:rsidRPr="006477F3" w:rsidRDefault="003B5D62" w:rsidP="0069424C">
      <w:pPr>
        <w:pStyle w:val="Nessunaspaziatura"/>
        <w:numPr>
          <w:ilvl w:val="0"/>
          <w:numId w:val="20"/>
        </w:numPr>
        <w:spacing w:line="276" w:lineRule="auto"/>
        <w:jc w:val="both"/>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Step 2 - busta tecnica (vedasi art.16)</w:t>
      </w:r>
    </w:p>
    <w:p w14:paraId="5ADECF8C" w14:textId="23C5F1CD" w:rsidR="003B5D62" w:rsidRPr="006477F3" w:rsidRDefault="003B5D62" w:rsidP="0069424C">
      <w:pPr>
        <w:pStyle w:val="Nessunaspaziatura"/>
        <w:numPr>
          <w:ilvl w:val="0"/>
          <w:numId w:val="20"/>
        </w:numPr>
        <w:spacing w:line="276" w:lineRule="auto"/>
        <w:jc w:val="both"/>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Step 3 - busta economica (vedasi art.17)</w:t>
      </w:r>
    </w:p>
    <w:p w14:paraId="30CD096C" w14:textId="75050A60" w:rsidR="003B5D62" w:rsidRPr="006477F3" w:rsidRDefault="003B5D62" w:rsidP="0069424C">
      <w:pPr>
        <w:pStyle w:val="Nessunaspaziatura"/>
        <w:numPr>
          <w:ilvl w:val="0"/>
          <w:numId w:val="20"/>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b/>
          <w:bCs/>
          <w:lang w:eastAsia="zh-CN"/>
        </w:rPr>
        <w:t>Step 4 – firma digitale dell’offerta</w:t>
      </w:r>
      <w:r w:rsidRPr="006477F3">
        <w:rPr>
          <w:rFonts w:asciiTheme="majorHAnsi" w:eastAsia="Times New Roman" w:hAnsiTheme="majorHAnsi" w:cstheme="majorHAnsi"/>
          <w:lang w:eastAsia="zh-CN"/>
        </w:rPr>
        <w:t xml:space="preserve">. Nell’ambito della sezione “Step 4 – Firma digitale del documento” l’operatore – </w:t>
      </w:r>
      <w:r w:rsidRPr="006477F3">
        <w:rPr>
          <w:rFonts w:asciiTheme="majorHAnsi" w:eastAsia="Times New Roman" w:hAnsiTheme="majorHAnsi" w:cstheme="majorHAnsi"/>
          <w:b/>
          <w:bCs/>
          <w:lang w:eastAsia="zh-CN"/>
        </w:rPr>
        <w:t>a pena di esclusione</w:t>
      </w:r>
      <w:r w:rsidRPr="006477F3">
        <w:rPr>
          <w:rFonts w:asciiTheme="majorHAnsi" w:eastAsia="Times New Roman" w:hAnsiTheme="majorHAnsi" w:cstheme="majorHAnsi"/>
          <w:lang w:eastAsia="zh-CN"/>
        </w:rPr>
        <w:t xml:space="preserve"> - deve allegare il DOCUMENTO D’OFFERTA debitamente sottoscritto digitalmente, predisposto utilizzando la funzione di generazione del file .pdf presente in Piattaforma.</w:t>
      </w:r>
    </w:p>
    <w:p w14:paraId="44EF4CBA" w14:textId="77777777" w:rsidR="003B5D62" w:rsidRPr="006477F3" w:rsidRDefault="003B5D62" w:rsidP="00EF7CDE">
      <w:pPr>
        <w:pStyle w:val="Nessunaspaziatura"/>
        <w:spacing w:line="276" w:lineRule="auto"/>
        <w:ind w:left="708"/>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A livello operativo, il concorrente deve</w:t>
      </w:r>
    </w:p>
    <w:p w14:paraId="2B5F42E7" w14:textId="77777777" w:rsidR="003B5D62" w:rsidRPr="006477F3" w:rsidRDefault="003B5D62" w:rsidP="00E9548C">
      <w:pPr>
        <w:pStyle w:val="Nessunaspaziatura"/>
        <w:spacing w:line="276" w:lineRule="auto"/>
        <w:ind w:left="1416" w:hanging="708"/>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1.</w:t>
      </w:r>
      <w:r w:rsidRPr="006477F3">
        <w:rPr>
          <w:rFonts w:asciiTheme="majorHAnsi" w:eastAsia="Times New Roman" w:hAnsiTheme="majorHAnsi" w:cstheme="majorHAnsi"/>
          <w:lang w:eastAsia="zh-CN"/>
        </w:rPr>
        <w:tab/>
        <w:t>scaricare il Documento d’offerta, tramite l’apposito pulsante (genera documento);</w:t>
      </w:r>
    </w:p>
    <w:p w14:paraId="00966EC4" w14:textId="77777777" w:rsidR="003B5D62" w:rsidRPr="006477F3" w:rsidRDefault="003B5D62" w:rsidP="00EF7CDE">
      <w:pPr>
        <w:pStyle w:val="Nessunaspaziatura"/>
        <w:spacing w:line="276" w:lineRule="auto"/>
        <w:ind w:left="708"/>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2.</w:t>
      </w:r>
      <w:r w:rsidRPr="006477F3">
        <w:rPr>
          <w:rFonts w:asciiTheme="majorHAnsi" w:eastAsia="Times New Roman" w:hAnsiTheme="majorHAnsi" w:cstheme="majorHAnsi"/>
          <w:lang w:eastAsia="zh-CN"/>
        </w:rPr>
        <w:tab/>
        <w:t>sottoscrivere digitalmente il documento scaricato;</w:t>
      </w:r>
    </w:p>
    <w:p w14:paraId="2623F653" w14:textId="77777777" w:rsidR="003B5D62" w:rsidRPr="006477F3" w:rsidRDefault="003B5D62" w:rsidP="00E9548C">
      <w:pPr>
        <w:pStyle w:val="Nessunaspaziatura"/>
        <w:spacing w:line="276" w:lineRule="auto"/>
        <w:ind w:left="1416" w:hanging="708"/>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3.</w:t>
      </w:r>
      <w:r w:rsidRPr="006477F3">
        <w:rPr>
          <w:rFonts w:asciiTheme="majorHAnsi" w:eastAsia="Times New Roman" w:hAnsiTheme="majorHAnsi" w:cstheme="majorHAnsi"/>
          <w:lang w:eastAsia="zh-CN"/>
        </w:rPr>
        <w:tab/>
        <w:t>caricare il documento tramite il pulsante “</w:t>
      </w:r>
      <w:r w:rsidRPr="006477F3">
        <w:rPr>
          <w:rFonts w:asciiTheme="majorHAnsi" w:eastAsia="Times New Roman" w:hAnsiTheme="majorHAnsi" w:cstheme="majorHAnsi"/>
          <w:b/>
          <w:bCs/>
          <w:lang w:eastAsia="zh-CN"/>
        </w:rPr>
        <w:t>Sfoglia</w:t>
      </w:r>
      <w:r w:rsidRPr="006477F3">
        <w:rPr>
          <w:rFonts w:asciiTheme="majorHAnsi" w:eastAsia="Times New Roman" w:hAnsiTheme="majorHAnsi" w:cstheme="majorHAnsi"/>
          <w:lang w:eastAsia="zh-CN"/>
        </w:rPr>
        <w:t>” e cliccare su “Effettua il caricamento/upload del file selezionato”.</w:t>
      </w:r>
    </w:p>
    <w:p w14:paraId="4CAD8C91" w14:textId="77777777" w:rsidR="003B5D62" w:rsidRPr="006477F3" w:rsidRDefault="003B5D62" w:rsidP="00EF7CDE">
      <w:pPr>
        <w:pStyle w:val="Nessunaspaziatura"/>
        <w:spacing w:line="276" w:lineRule="auto"/>
        <w:ind w:left="708"/>
        <w:jc w:val="both"/>
        <w:rPr>
          <w:rFonts w:asciiTheme="majorHAnsi" w:eastAsia="Times New Roman" w:hAnsiTheme="majorHAnsi" w:cstheme="majorHAnsi"/>
          <w:lang w:eastAsia="zh-CN"/>
        </w:rPr>
      </w:pPr>
      <w:r w:rsidRPr="006477F3">
        <w:rPr>
          <w:rFonts w:asciiTheme="majorHAnsi" w:eastAsia="Times New Roman" w:hAnsiTheme="majorHAnsi" w:cstheme="majorHAnsi"/>
          <w:b/>
          <w:bCs/>
          <w:lang w:eastAsia="zh-CN"/>
        </w:rPr>
        <w:t>Il “DOCUMENTO D’OFFERTA” nonché gli eventuali ulteriori file previsti allo STEP 3 devono essere sottoscritti digitalmente dal legale rappresentante dell’operatore economico</w:t>
      </w:r>
      <w:r w:rsidRPr="006477F3">
        <w:rPr>
          <w:rFonts w:asciiTheme="majorHAnsi" w:eastAsia="Times New Roman" w:hAnsiTheme="majorHAnsi" w:cstheme="majorHAnsi"/>
          <w:lang w:eastAsia="zh-CN"/>
        </w:rPr>
        <w:t>. Nell’ipotesi di sottoscrizione da parte di un procuratore speciale, è necessario produrre, all’interno della documentazione amministrativa, una dichiarazione sottoscritta digitalmente in cui si attesti tale qualità, indicando gli estremi completi della procura che conferisce i necessari poteri. In caso di società amministrate da più coamministratori con firma congiunta, i documenti vanno sottoscritti digitalmente da tutti i coamministratori a firma congiunta.</w:t>
      </w:r>
    </w:p>
    <w:p w14:paraId="38F687C8" w14:textId="718A2972" w:rsidR="003B5D62" w:rsidRPr="006477F3" w:rsidRDefault="003B5D62" w:rsidP="0069424C">
      <w:pPr>
        <w:pStyle w:val="Nessunaspaziatura"/>
        <w:numPr>
          <w:ilvl w:val="0"/>
          <w:numId w:val="20"/>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b/>
          <w:bCs/>
          <w:lang w:eastAsia="zh-CN"/>
        </w:rPr>
        <w:lastRenderedPageBreak/>
        <w:t>Step 5 - RIEPILOGO ED INVIO DELL’OFFERTA</w:t>
      </w:r>
      <w:r w:rsidRPr="006477F3">
        <w:rPr>
          <w:rFonts w:asciiTheme="majorHAnsi" w:eastAsia="Times New Roman" w:hAnsiTheme="majorHAnsi" w:cstheme="majorHAnsi"/>
          <w:lang w:eastAsia="zh-CN"/>
        </w:rPr>
        <w:t xml:space="preserve">. Nell’ambito della sezione “Step 5 – Riepilogo ed invio offerta” l’operatore economico visualizza il riepilogo di tutte le informazioni componenti la propria offerta. L’operatore economico, per concludere il percorso guidato ed inviare l’offerta, deve </w:t>
      </w:r>
      <w:r w:rsidRPr="006477F3">
        <w:rPr>
          <w:rFonts w:asciiTheme="majorHAnsi" w:eastAsia="Times New Roman" w:hAnsiTheme="majorHAnsi" w:cstheme="majorHAnsi"/>
          <w:b/>
          <w:bCs/>
          <w:lang w:eastAsia="zh-CN"/>
        </w:rPr>
        <w:t>cliccare l’apposito tasto “INVIA OFFERTA</w:t>
      </w:r>
      <w:r w:rsidRPr="006477F3">
        <w:rPr>
          <w:rFonts w:asciiTheme="majorHAnsi" w:eastAsia="Times New Roman" w:hAnsiTheme="majorHAnsi" w:cstheme="majorHAnsi"/>
          <w:lang w:eastAsia="zh-CN"/>
        </w:rPr>
        <w:t>”.</w:t>
      </w:r>
    </w:p>
    <w:p w14:paraId="45387695" w14:textId="64C3D16E" w:rsidR="003B5D62" w:rsidRPr="006477F3" w:rsidRDefault="003B5D62" w:rsidP="003609FE">
      <w:pPr>
        <w:pStyle w:val="Nessunaspaziatura"/>
        <w:spacing w:line="276" w:lineRule="auto"/>
        <w:ind w:left="708"/>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Si ricorda che il semplice caricamento (upload) della documentazione di offerta su Sintel non comporta l’invio dell’offerta. L’invio dell’offerta avverrà soltanto mediante l’apposita procedura da effettuarsi al termine e successivamente alla procedura di redazione, sottoscrizione e caricamento (upload) su Sintel della documentazione che compone l’offerta.</w:t>
      </w:r>
    </w:p>
    <w:p w14:paraId="27B0EBC2" w14:textId="77777777" w:rsidR="00E27906" w:rsidRPr="006477F3" w:rsidRDefault="00E27906" w:rsidP="00DB09C5">
      <w:pPr>
        <w:pStyle w:val="Nessunaspaziatura"/>
        <w:spacing w:line="276" w:lineRule="auto"/>
        <w:rPr>
          <w:rFonts w:asciiTheme="majorHAnsi" w:eastAsia="Times New Roman" w:hAnsiTheme="majorHAnsi" w:cstheme="majorHAnsi"/>
          <w:b/>
          <w:bCs/>
          <w:lang w:eastAsia="zh-CN"/>
        </w:rPr>
      </w:pPr>
    </w:p>
    <w:p w14:paraId="4C844DF6" w14:textId="50A09443" w:rsidR="00E27906" w:rsidRPr="006477F3" w:rsidRDefault="003609FE" w:rsidP="003609FE">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w:t>
      </w:r>
      <w:r w:rsidRPr="006477F3">
        <w:rPr>
          <w:rFonts w:asciiTheme="majorHAnsi" w:eastAsia="Times New Roman" w:hAnsiTheme="majorHAnsi" w:cstheme="majorHAnsi"/>
          <w:b/>
          <w:bCs/>
          <w:lang w:eastAsia="zh-CN"/>
        </w:rPr>
        <w:t>OFFERTA</w:t>
      </w:r>
      <w:r w:rsidRPr="006477F3">
        <w:rPr>
          <w:rFonts w:asciiTheme="majorHAnsi" w:eastAsia="Times New Roman" w:hAnsiTheme="majorHAnsi" w:cstheme="majorHAnsi"/>
          <w:lang w:eastAsia="zh-CN"/>
        </w:rPr>
        <w:t xml:space="preserve"> è composta da:</w:t>
      </w:r>
    </w:p>
    <w:p w14:paraId="1C700723" w14:textId="77777777" w:rsidR="003609FE" w:rsidRPr="006477F3" w:rsidRDefault="003609FE" w:rsidP="003609FE">
      <w:pPr>
        <w:pStyle w:val="Nessunaspaziatura"/>
        <w:spacing w:line="276" w:lineRule="auto"/>
        <w:jc w:val="both"/>
        <w:rPr>
          <w:rFonts w:asciiTheme="majorHAnsi" w:eastAsia="Times New Roman" w:hAnsiTheme="majorHAnsi" w:cstheme="majorHAnsi"/>
          <w:b/>
          <w:lang w:eastAsia="zh-CN"/>
        </w:rPr>
      </w:pPr>
      <w:r w:rsidRPr="006477F3">
        <w:rPr>
          <w:rFonts w:asciiTheme="majorHAnsi" w:eastAsia="Times New Roman" w:hAnsiTheme="majorHAnsi" w:cstheme="majorHAnsi"/>
          <w:b/>
          <w:lang w:eastAsia="zh-CN"/>
        </w:rPr>
        <w:t>A</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Documentazione</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amministrativa</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(step</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1);</w:t>
      </w:r>
    </w:p>
    <w:p w14:paraId="10CE807E" w14:textId="77777777" w:rsidR="003609FE" w:rsidRPr="006477F3" w:rsidRDefault="003609FE" w:rsidP="003609FE">
      <w:pPr>
        <w:pStyle w:val="Nessunaspaziatura"/>
        <w:spacing w:line="276" w:lineRule="auto"/>
        <w:jc w:val="both"/>
        <w:rPr>
          <w:rFonts w:asciiTheme="majorHAnsi" w:eastAsia="Times New Roman" w:hAnsiTheme="majorHAnsi" w:cstheme="majorHAnsi"/>
          <w:b/>
          <w:lang w:eastAsia="zh-CN"/>
        </w:rPr>
      </w:pPr>
      <w:r w:rsidRPr="006477F3">
        <w:rPr>
          <w:rFonts w:asciiTheme="majorHAnsi" w:eastAsia="Times New Roman" w:hAnsiTheme="majorHAnsi" w:cstheme="majorHAnsi"/>
          <w:b/>
          <w:lang w:eastAsia="zh-CN"/>
        </w:rPr>
        <w:t>B</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Offerta</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tecnica</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(step</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2);</w:t>
      </w:r>
    </w:p>
    <w:p w14:paraId="5D240CC8" w14:textId="77777777" w:rsidR="003609FE" w:rsidRPr="006477F3" w:rsidRDefault="003609FE" w:rsidP="003609FE">
      <w:pPr>
        <w:pStyle w:val="Nessunaspaziatura"/>
        <w:spacing w:line="276" w:lineRule="auto"/>
        <w:jc w:val="both"/>
        <w:rPr>
          <w:rFonts w:asciiTheme="majorHAnsi" w:eastAsia="Times New Roman" w:hAnsiTheme="majorHAnsi" w:cstheme="majorHAnsi"/>
          <w:b/>
          <w:lang w:eastAsia="zh-CN"/>
        </w:rPr>
      </w:pPr>
      <w:r w:rsidRPr="006477F3">
        <w:rPr>
          <w:rFonts w:asciiTheme="majorHAnsi" w:eastAsia="Times New Roman" w:hAnsiTheme="majorHAnsi" w:cstheme="majorHAnsi"/>
          <w:b/>
          <w:lang w:eastAsia="zh-CN"/>
        </w:rPr>
        <w:t>C</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Offerta</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economica</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(step</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lang w:eastAsia="zh-CN"/>
        </w:rPr>
        <w:t>3).</w:t>
      </w:r>
    </w:p>
    <w:p w14:paraId="4B0B3889" w14:textId="77777777" w:rsidR="003609FE" w:rsidRPr="006477F3" w:rsidRDefault="003609FE" w:rsidP="003609FE">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Si precisa inoltre che:</w:t>
      </w:r>
    </w:p>
    <w:p w14:paraId="0884BE7C" w14:textId="77777777" w:rsidR="003609FE" w:rsidRPr="006477F3" w:rsidRDefault="003609FE" w:rsidP="0069424C">
      <w:pPr>
        <w:pStyle w:val="Nessunaspaziatura"/>
        <w:numPr>
          <w:ilvl w:val="0"/>
          <w:numId w:val="21"/>
        </w:numPr>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l’offerta è vincolante per il concorrente;</w:t>
      </w:r>
    </w:p>
    <w:p w14:paraId="678C3EEF" w14:textId="77777777" w:rsidR="003609FE" w:rsidRPr="006477F3" w:rsidRDefault="003609FE" w:rsidP="0069424C">
      <w:pPr>
        <w:pStyle w:val="Nessunaspaziatura"/>
        <w:numPr>
          <w:ilvl w:val="0"/>
          <w:numId w:val="21"/>
        </w:numPr>
        <w:spacing w:line="276" w:lineRule="auto"/>
        <w:jc w:val="both"/>
        <w:rPr>
          <w:rFonts w:asciiTheme="majorHAnsi" w:eastAsia="Times New Roman" w:hAnsiTheme="majorHAnsi" w:cstheme="majorHAnsi"/>
          <w:b/>
          <w:lang w:eastAsia="zh-CN"/>
        </w:rPr>
      </w:pPr>
      <w:r w:rsidRPr="006477F3">
        <w:rPr>
          <w:rFonts w:asciiTheme="majorHAnsi" w:eastAsia="Times New Roman" w:hAnsiTheme="majorHAnsi" w:cstheme="majorHAnsi"/>
          <w:b/>
          <w:u w:val="thick"/>
          <w:lang w:eastAsia="zh-CN"/>
        </w:rPr>
        <w:t>con</w:t>
      </w:r>
      <w:r w:rsidRPr="006477F3">
        <w:rPr>
          <w:rFonts w:asciiTheme="majorHAnsi" w:eastAsia="Times New Roman" w:hAnsiTheme="majorHAnsi" w:cstheme="majorHAnsi"/>
          <w:u w:val="thick"/>
          <w:lang w:eastAsia="zh-CN"/>
        </w:rPr>
        <w:t xml:space="preserve"> </w:t>
      </w:r>
      <w:r w:rsidRPr="006477F3">
        <w:rPr>
          <w:rFonts w:asciiTheme="majorHAnsi" w:eastAsia="Times New Roman" w:hAnsiTheme="majorHAnsi" w:cstheme="majorHAnsi"/>
          <w:b/>
          <w:u w:val="thick"/>
          <w:lang w:eastAsia="zh-CN"/>
        </w:rPr>
        <w:t>la</w:t>
      </w:r>
      <w:r w:rsidRPr="006477F3">
        <w:rPr>
          <w:rFonts w:asciiTheme="majorHAnsi" w:eastAsia="Times New Roman" w:hAnsiTheme="majorHAnsi" w:cstheme="majorHAnsi"/>
          <w:u w:val="thick"/>
          <w:lang w:eastAsia="zh-CN"/>
        </w:rPr>
        <w:t xml:space="preserve"> </w:t>
      </w:r>
      <w:r w:rsidRPr="006477F3">
        <w:rPr>
          <w:rFonts w:asciiTheme="majorHAnsi" w:eastAsia="Times New Roman" w:hAnsiTheme="majorHAnsi" w:cstheme="majorHAnsi"/>
          <w:b/>
          <w:u w:val="thick"/>
          <w:lang w:eastAsia="zh-CN"/>
        </w:rPr>
        <w:t>trasmissione</w:t>
      </w:r>
      <w:r w:rsidRPr="006477F3">
        <w:rPr>
          <w:rFonts w:asciiTheme="majorHAnsi" w:eastAsia="Times New Roman" w:hAnsiTheme="majorHAnsi" w:cstheme="majorHAnsi"/>
          <w:u w:val="thick"/>
          <w:lang w:eastAsia="zh-CN"/>
        </w:rPr>
        <w:t xml:space="preserve"> </w:t>
      </w:r>
      <w:r w:rsidRPr="006477F3">
        <w:rPr>
          <w:rFonts w:asciiTheme="majorHAnsi" w:eastAsia="Times New Roman" w:hAnsiTheme="majorHAnsi" w:cstheme="majorHAnsi"/>
          <w:b/>
          <w:u w:val="thick"/>
          <w:lang w:eastAsia="zh-CN"/>
        </w:rPr>
        <w:t>dell’offerta,</w:t>
      </w:r>
      <w:r w:rsidRPr="006477F3">
        <w:rPr>
          <w:rFonts w:asciiTheme="majorHAnsi" w:eastAsia="Times New Roman" w:hAnsiTheme="majorHAnsi" w:cstheme="majorHAnsi"/>
          <w:u w:val="thick"/>
          <w:lang w:eastAsia="zh-CN"/>
        </w:rPr>
        <w:t xml:space="preserve"> </w:t>
      </w:r>
      <w:r w:rsidRPr="006477F3">
        <w:rPr>
          <w:rFonts w:asciiTheme="majorHAnsi" w:eastAsia="Times New Roman" w:hAnsiTheme="majorHAnsi" w:cstheme="majorHAnsi"/>
          <w:b/>
          <w:u w:val="thick"/>
          <w:lang w:eastAsia="zh-CN"/>
        </w:rPr>
        <w:t>il</w:t>
      </w:r>
      <w:r w:rsidRPr="006477F3">
        <w:rPr>
          <w:rFonts w:asciiTheme="majorHAnsi" w:eastAsia="Times New Roman" w:hAnsiTheme="majorHAnsi" w:cstheme="majorHAnsi"/>
          <w:u w:val="thick"/>
          <w:lang w:eastAsia="zh-CN"/>
        </w:rPr>
        <w:t xml:space="preserve"> </w:t>
      </w:r>
      <w:r w:rsidRPr="006477F3">
        <w:rPr>
          <w:rFonts w:asciiTheme="majorHAnsi" w:eastAsia="Times New Roman" w:hAnsiTheme="majorHAnsi" w:cstheme="majorHAnsi"/>
          <w:b/>
          <w:u w:val="thick"/>
          <w:lang w:eastAsia="zh-CN"/>
        </w:rPr>
        <w:t>concorrente</w:t>
      </w:r>
      <w:r w:rsidRPr="006477F3">
        <w:rPr>
          <w:rFonts w:asciiTheme="majorHAnsi" w:eastAsia="Times New Roman" w:hAnsiTheme="majorHAnsi" w:cstheme="majorHAnsi"/>
          <w:u w:val="thick"/>
          <w:lang w:eastAsia="zh-CN"/>
        </w:rPr>
        <w:t xml:space="preserve"> </w:t>
      </w:r>
      <w:r w:rsidRPr="006477F3">
        <w:rPr>
          <w:rFonts w:asciiTheme="majorHAnsi" w:eastAsia="Times New Roman" w:hAnsiTheme="majorHAnsi" w:cstheme="majorHAnsi"/>
          <w:b/>
          <w:u w:val="thick"/>
          <w:lang w:eastAsia="zh-CN"/>
        </w:rPr>
        <w:t>accetta</w:t>
      </w:r>
      <w:r w:rsidRPr="006477F3">
        <w:rPr>
          <w:rFonts w:asciiTheme="majorHAnsi" w:eastAsia="Times New Roman" w:hAnsiTheme="majorHAnsi" w:cstheme="majorHAnsi"/>
          <w:u w:val="thick"/>
          <w:lang w:eastAsia="zh-CN"/>
        </w:rPr>
        <w:t xml:space="preserve"> </w:t>
      </w:r>
      <w:r w:rsidRPr="006477F3">
        <w:rPr>
          <w:rFonts w:asciiTheme="majorHAnsi" w:eastAsia="Times New Roman" w:hAnsiTheme="majorHAnsi" w:cstheme="majorHAnsi"/>
          <w:b/>
          <w:u w:val="thick"/>
          <w:lang w:eastAsia="zh-CN"/>
        </w:rPr>
        <w:t>tutta</w:t>
      </w:r>
      <w:r w:rsidRPr="006477F3">
        <w:rPr>
          <w:rFonts w:asciiTheme="majorHAnsi" w:eastAsia="Times New Roman" w:hAnsiTheme="majorHAnsi" w:cstheme="majorHAnsi"/>
          <w:u w:val="thick"/>
          <w:lang w:eastAsia="zh-CN"/>
        </w:rPr>
        <w:t xml:space="preserve"> </w:t>
      </w:r>
      <w:r w:rsidRPr="006477F3">
        <w:rPr>
          <w:rFonts w:asciiTheme="majorHAnsi" w:eastAsia="Times New Roman" w:hAnsiTheme="majorHAnsi" w:cstheme="majorHAnsi"/>
          <w:b/>
          <w:u w:val="thick"/>
          <w:lang w:eastAsia="zh-CN"/>
        </w:rPr>
        <w:t>la</w:t>
      </w:r>
      <w:r w:rsidRPr="006477F3">
        <w:rPr>
          <w:rFonts w:asciiTheme="majorHAnsi" w:eastAsia="Times New Roman" w:hAnsiTheme="majorHAnsi" w:cstheme="majorHAnsi"/>
          <w:u w:val="thick"/>
          <w:lang w:eastAsia="zh-CN"/>
        </w:rPr>
        <w:t xml:space="preserve"> </w:t>
      </w:r>
      <w:r w:rsidRPr="006477F3">
        <w:rPr>
          <w:rFonts w:asciiTheme="majorHAnsi" w:eastAsia="Times New Roman" w:hAnsiTheme="majorHAnsi" w:cstheme="majorHAnsi"/>
          <w:b/>
          <w:u w:val="thick"/>
          <w:lang w:eastAsia="zh-CN"/>
        </w:rPr>
        <w:t>documentazione</w:t>
      </w:r>
      <w:r w:rsidRPr="006477F3">
        <w:rPr>
          <w:rFonts w:asciiTheme="majorHAnsi" w:eastAsia="Times New Roman" w:hAnsiTheme="majorHAnsi" w:cstheme="majorHAnsi"/>
          <w:u w:val="thick"/>
          <w:lang w:eastAsia="zh-CN"/>
        </w:rPr>
        <w:t xml:space="preserve"> </w:t>
      </w:r>
      <w:r w:rsidRPr="006477F3">
        <w:rPr>
          <w:rFonts w:asciiTheme="majorHAnsi" w:eastAsia="Times New Roman" w:hAnsiTheme="majorHAnsi" w:cstheme="majorHAnsi"/>
          <w:b/>
          <w:u w:val="thick"/>
          <w:lang w:eastAsia="zh-CN"/>
        </w:rPr>
        <w:t>di</w:t>
      </w:r>
      <w:r w:rsidRPr="006477F3">
        <w:rPr>
          <w:rFonts w:asciiTheme="majorHAnsi" w:eastAsia="Times New Roman" w:hAnsiTheme="majorHAnsi" w:cstheme="majorHAnsi"/>
          <w:u w:val="thick"/>
          <w:lang w:eastAsia="zh-CN"/>
        </w:rPr>
        <w:t xml:space="preserve"> </w:t>
      </w:r>
      <w:r w:rsidRPr="006477F3">
        <w:rPr>
          <w:rFonts w:asciiTheme="majorHAnsi" w:eastAsia="Times New Roman" w:hAnsiTheme="majorHAnsi" w:cstheme="majorHAnsi"/>
          <w:b/>
          <w:u w:val="thick"/>
          <w:lang w:eastAsia="zh-CN"/>
        </w:rPr>
        <w:t>gara,</w:t>
      </w:r>
      <w:r w:rsidRPr="006477F3">
        <w:rPr>
          <w:rFonts w:asciiTheme="majorHAnsi" w:eastAsia="Times New Roman" w:hAnsiTheme="majorHAnsi" w:cstheme="majorHAnsi"/>
          <w:u w:val="thick"/>
          <w:lang w:eastAsia="zh-CN"/>
        </w:rPr>
        <w:t xml:space="preserve"> </w:t>
      </w:r>
      <w:r w:rsidRPr="006477F3">
        <w:rPr>
          <w:rFonts w:asciiTheme="majorHAnsi" w:eastAsia="Times New Roman" w:hAnsiTheme="majorHAnsi" w:cstheme="majorHAnsi"/>
          <w:b/>
          <w:u w:val="thick"/>
          <w:lang w:eastAsia="zh-CN"/>
        </w:rPr>
        <w:t>allegati</w:t>
      </w:r>
      <w:r w:rsidRPr="006477F3">
        <w:rPr>
          <w:rFonts w:asciiTheme="majorHAnsi" w:eastAsia="Times New Roman" w:hAnsiTheme="majorHAnsi" w:cstheme="majorHAnsi"/>
          <w:lang w:eastAsia="zh-CN"/>
        </w:rPr>
        <w:t xml:space="preserve"> </w:t>
      </w:r>
      <w:r w:rsidRPr="006477F3">
        <w:rPr>
          <w:rFonts w:asciiTheme="majorHAnsi" w:eastAsia="Times New Roman" w:hAnsiTheme="majorHAnsi" w:cstheme="majorHAnsi"/>
          <w:b/>
          <w:u w:val="thick"/>
          <w:lang w:eastAsia="zh-CN"/>
        </w:rPr>
        <w:t>e</w:t>
      </w:r>
      <w:r w:rsidRPr="006477F3">
        <w:rPr>
          <w:rFonts w:asciiTheme="majorHAnsi" w:eastAsia="Times New Roman" w:hAnsiTheme="majorHAnsi" w:cstheme="majorHAnsi"/>
          <w:u w:val="thick"/>
          <w:lang w:eastAsia="zh-CN"/>
        </w:rPr>
        <w:t xml:space="preserve"> </w:t>
      </w:r>
      <w:r w:rsidRPr="006477F3">
        <w:rPr>
          <w:rFonts w:asciiTheme="majorHAnsi" w:eastAsia="Times New Roman" w:hAnsiTheme="majorHAnsi" w:cstheme="majorHAnsi"/>
          <w:b/>
          <w:u w:val="thick"/>
          <w:lang w:eastAsia="zh-CN"/>
        </w:rPr>
        <w:t>chiarimenti</w:t>
      </w:r>
      <w:r w:rsidRPr="006477F3">
        <w:rPr>
          <w:rFonts w:asciiTheme="majorHAnsi" w:eastAsia="Times New Roman" w:hAnsiTheme="majorHAnsi" w:cstheme="majorHAnsi"/>
          <w:u w:val="thick"/>
          <w:lang w:eastAsia="zh-CN"/>
        </w:rPr>
        <w:t xml:space="preserve"> </w:t>
      </w:r>
      <w:r w:rsidRPr="006477F3">
        <w:rPr>
          <w:rFonts w:asciiTheme="majorHAnsi" w:eastAsia="Times New Roman" w:hAnsiTheme="majorHAnsi" w:cstheme="majorHAnsi"/>
          <w:b/>
          <w:u w:val="thick"/>
          <w:lang w:eastAsia="zh-CN"/>
        </w:rPr>
        <w:t>inclusi.</w:t>
      </w:r>
    </w:p>
    <w:p w14:paraId="1EE28667" w14:textId="77777777" w:rsidR="003609FE" w:rsidRPr="006477F3" w:rsidRDefault="003609FE" w:rsidP="00DB09C5">
      <w:pPr>
        <w:pStyle w:val="Nessunaspaziatura"/>
        <w:spacing w:line="276" w:lineRule="auto"/>
        <w:rPr>
          <w:rFonts w:asciiTheme="majorHAnsi" w:eastAsia="Times New Roman" w:hAnsiTheme="majorHAnsi" w:cstheme="majorHAnsi"/>
          <w:lang w:eastAsia="zh-CN"/>
        </w:rPr>
      </w:pPr>
    </w:p>
    <w:p w14:paraId="2F7852C5" w14:textId="77777777" w:rsidR="003609FE" w:rsidRPr="006477F3" w:rsidRDefault="003609FE" w:rsidP="003609FE">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Al momento della ricezione delle offerte ciascun concorrente riceve notifica del corretto recepimento della documentazione inviata.</w:t>
      </w:r>
    </w:p>
    <w:p w14:paraId="360C1CBE" w14:textId="77777777" w:rsidR="003609FE" w:rsidRPr="006477F3" w:rsidRDefault="003609FE" w:rsidP="003609FE">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La Piattaforma consente al concorrente di visualizzare l’avvenuta trasmissione dell’offerta.</w:t>
      </w:r>
    </w:p>
    <w:p w14:paraId="09B78250" w14:textId="77777777" w:rsidR="003609FE" w:rsidRPr="006477F3" w:rsidRDefault="003609FE" w:rsidP="003609FE">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Nel rispetto delle modalità operative previste nella documentazione di sistema, l’operatore economico ha facoltà di inserire nella Piattaforma offerte successive che sostituiscono la precedente, ovvero ritirare l’offerta presentata, nel periodo di tempo compreso tra la data e ora di inizio e la data e ora di chiusura della fase di presentazione delle offerte. La stazione appaltante considera esclusivamente l’ultima offerta presentata.</w:t>
      </w:r>
    </w:p>
    <w:p w14:paraId="600EF002" w14:textId="61EB0A5C" w:rsidR="003609FE" w:rsidRPr="006477F3" w:rsidRDefault="003609FE" w:rsidP="003609FE">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Tutta la documentazione da produrre, anche mediante inserimento nel FVOE 2.0, deve essere in lingua italiana.</w:t>
      </w:r>
    </w:p>
    <w:p w14:paraId="381A585D" w14:textId="77777777" w:rsidR="003609FE" w:rsidRPr="006477F3" w:rsidRDefault="003609FE" w:rsidP="003609FE">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L’offerta vincola il concorrente per 180 dalla scadenza del termine indicato per la presentazione dell’offerta.</w:t>
      </w:r>
    </w:p>
    <w:p w14:paraId="65BCC73E" w14:textId="77777777" w:rsidR="003609FE" w:rsidRPr="006477F3" w:rsidRDefault="003609FE" w:rsidP="003609FE">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Nel caso in cui alla data di scadenza della validità delle offerte le operazioni di gara siano ancora in corso, sarà richiesto agli offerenti di confermare la validità dell’offerta sino alla data indicata e di produrre un apposito documento attestante la validità della garanzia prestata in sede di gara fino alla medesima data.</w:t>
      </w:r>
    </w:p>
    <w:p w14:paraId="16347F1A" w14:textId="77777777" w:rsidR="003609FE" w:rsidRPr="006477F3" w:rsidRDefault="003609FE" w:rsidP="003609FE">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Il mancato riscontro alla richiesta della stazione appaltante entro il termine fissato da quest’ultima è considerato come rinuncia del concorrente alla partecipazione alla gara.</w:t>
      </w:r>
    </w:p>
    <w:p w14:paraId="76FCB94C" w14:textId="77777777" w:rsidR="003609FE" w:rsidRPr="006477F3" w:rsidRDefault="003609FE" w:rsidP="003609FE">
      <w:pPr>
        <w:pStyle w:val="Nessunaspaziatura"/>
        <w:spacing w:line="276" w:lineRule="auto"/>
        <w:jc w:val="both"/>
        <w:rPr>
          <w:rFonts w:asciiTheme="majorHAnsi" w:eastAsia="Times New Roman" w:hAnsiTheme="majorHAnsi" w:cstheme="majorHAnsi"/>
          <w:lang w:eastAsia="zh-CN"/>
        </w:rPr>
      </w:pPr>
    </w:p>
    <w:p w14:paraId="585D82EE" w14:textId="77777777" w:rsidR="003609FE" w:rsidRPr="006477F3" w:rsidRDefault="003609FE" w:rsidP="003609FE">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lastRenderedPageBreak/>
        <w:t>Fino al giorno fissato per l’apertura, l’operatore economico può effettuare, tramite la Piattaforma, la richiesta di rettifica di un errore materiale contenuto nell’offerta tecnica o nell’offerta economica, di cui si sia avveduto dopo la scadenza del termine per la loro presentazione. A tal fine, richiede di potersi avvalere di tale facoltà.</w:t>
      </w:r>
    </w:p>
    <w:p w14:paraId="1674DB13" w14:textId="77777777" w:rsidR="003609FE" w:rsidRPr="006477F3" w:rsidRDefault="003609FE" w:rsidP="003609FE">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A seguito della richiesta, sono comunicate all’operatore economico le modalità e i tempi con cui procedere all’indicazione degli elementi che consentono l’individuazione dell’errore materiale e la sua correzione. La rettifica è operata nel rispetto della segretezza dell’offerta e non può comportare la presentazione di una nuova offerta, né la sua modifica sostanziale.</w:t>
      </w:r>
    </w:p>
    <w:p w14:paraId="13BF53A2" w14:textId="1C052FFC" w:rsidR="00E27906" w:rsidRPr="006477F3" w:rsidRDefault="003609FE" w:rsidP="003609FE">
      <w:pPr>
        <w:pStyle w:val="Nessunaspaziatura"/>
        <w:spacing w:line="276" w:lineRule="auto"/>
        <w:jc w:val="both"/>
        <w:rPr>
          <w:rFonts w:asciiTheme="majorHAnsi" w:eastAsia="Times New Roman" w:hAnsiTheme="majorHAnsi" w:cstheme="majorHAnsi"/>
          <w:lang w:eastAsia="zh-CN"/>
        </w:rPr>
      </w:pPr>
      <w:r w:rsidRPr="006477F3">
        <w:rPr>
          <w:rFonts w:asciiTheme="majorHAnsi" w:eastAsia="Times New Roman" w:hAnsiTheme="majorHAnsi" w:cstheme="majorHAnsi"/>
          <w:lang w:eastAsia="zh-CN"/>
        </w:rPr>
        <w:t>Se la rettifica è ritenuta non accoglibile perché sostanziale, è valutata la possibilità di dichiarare l’offerta inammissibile.</w:t>
      </w:r>
    </w:p>
    <w:p w14:paraId="2317E5B5" w14:textId="6879354F" w:rsidR="00E27906" w:rsidRPr="006477F3" w:rsidRDefault="003609FE" w:rsidP="003609FE">
      <w:pPr>
        <w:pStyle w:val="Nessunaspaziatura"/>
        <w:spacing w:line="276" w:lineRule="auto"/>
        <w:jc w:val="center"/>
        <w:rPr>
          <w:rFonts w:asciiTheme="majorHAnsi" w:eastAsia="Times New Roman" w:hAnsiTheme="majorHAnsi" w:cstheme="majorHAnsi"/>
          <w:b/>
          <w:bCs/>
          <w:lang w:eastAsia="zh-CN"/>
        </w:rPr>
      </w:pPr>
      <w:r w:rsidRPr="006477F3">
        <w:rPr>
          <w:rFonts w:asciiTheme="majorHAnsi" w:eastAsia="Times New Roman" w:hAnsiTheme="majorHAnsi" w:cstheme="majorHAnsi"/>
          <w:b/>
          <w:bCs/>
          <w:lang w:eastAsia="zh-CN"/>
        </w:rPr>
        <w:t>******</w:t>
      </w:r>
    </w:p>
    <w:p w14:paraId="4E9FE18C" w14:textId="5BACEAEF" w:rsidR="00DB4C1D" w:rsidRPr="006477F3" w:rsidRDefault="003609FE" w:rsidP="003609FE">
      <w:pPr>
        <w:jc w:val="both"/>
        <w:rPr>
          <w:rFonts w:asciiTheme="majorHAnsi" w:hAnsiTheme="majorHAnsi" w:cstheme="majorHAnsi"/>
        </w:rPr>
      </w:pPr>
      <w:r w:rsidRPr="006477F3">
        <w:rPr>
          <w:rFonts w:asciiTheme="majorHAnsi" w:hAnsiTheme="majorHAnsi" w:cstheme="majorHAnsi"/>
          <w:b/>
          <w:bCs/>
        </w:rPr>
        <w:t>Il concorrente che intende partecipare in forma associata</w:t>
      </w:r>
      <w:r w:rsidRPr="006477F3">
        <w:rPr>
          <w:rFonts w:asciiTheme="majorHAnsi" w:hAnsiTheme="majorHAnsi" w:cstheme="majorHAnsi"/>
        </w:rPr>
        <w:t xml:space="preserve"> (per esempio raggruppamento temporaneo di imprese/Consorzi, sia costituiti che costituendi) in sede di presentazione dell’offerta indica la forma di partecipazione e indica gli operatori economici riuniti o consorziati. </w:t>
      </w:r>
    </w:p>
    <w:p w14:paraId="1D1C82DB" w14:textId="77777777" w:rsidR="003609FE" w:rsidRPr="006477F3" w:rsidRDefault="003609FE" w:rsidP="003609FE">
      <w:pPr>
        <w:jc w:val="both"/>
        <w:rPr>
          <w:rFonts w:asciiTheme="majorHAnsi" w:hAnsiTheme="majorHAnsi" w:cstheme="majorHAnsi"/>
        </w:rPr>
      </w:pPr>
      <w:r w:rsidRPr="006477F3">
        <w:rPr>
          <w:rFonts w:asciiTheme="majorHAnsi" w:hAnsiTheme="majorHAnsi" w:cstheme="majorHAnsi"/>
        </w:rPr>
        <w:t>In caso di partecipazione “plurisoggettiva/consorzi (RTI, Consorzi, Rete di imprese e GEIE) occorre inviare un’unica offerta telematica come di seguito indicato:</w:t>
      </w:r>
    </w:p>
    <w:p w14:paraId="69D4C7B9" w14:textId="77777777" w:rsidR="003609FE" w:rsidRPr="006477F3" w:rsidRDefault="003609FE" w:rsidP="00E9548C">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In caso di raggruppamenti temporanei di imprese e consorzi da costituirsi l’offerta telematica deve essere presentata, esclusivamente attraverso il Portale, dal legale rappresentante dell’impresa che assume il ruolo di capogruppo.</w:t>
      </w:r>
    </w:p>
    <w:p w14:paraId="22FEFEF1" w14:textId="77777777" w:rsidR="003609FE" w:rsidRPr="006477F3" w:rsidRDefault="003609FE" w:rsidP="00E9548C">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In caso di raggruppamenti già costituiti e di consorzi costituiti l’offerta telematica deve essere presentata esclusivamente attraverso il Portale dal legale rappresentante dell’ATI o consorzio.</w:t>
      </w:r>
    </w:p>
    <w:p w14:paraId="2B872B42" w14:textId="77777777" w:rsidR="003609FE" w:rsidRPr="006477F3" w:rsidRDefault="003609FE" w:rsidP="003609FE">
      <w:pPr>
        <w:jc w:val="both"/>
        <w:rPr>
          <w:rFonts w:asciiTheme="majorHAnsi" w:hAnsiTheme="majorHAnsi" w:cstheme="majorHAnsi"/>
        </w:rPr>
      </w:pPr>
      <w:r w:rsidRPr="006477F3">
        <w:rPr>
          <w:rFonts w:asciiTheme="majorHAnsi" w:hAnsiTheme="majorHAnsi" w:cstheme="majorHAnsi"/>
        </w:rPr>
        <w:t xml:space="preserve"> </w:t>
      </w:r>
    </w:p>
    <w:p w14:paraId="7B93564B" w14:textId="199EC426" w:rsidR="003609FE" w:rsidRPr="006477F3" w:rsidRDefault="003609FE" w:rsidP="003609FE">
      <w:pPr>
        <w:jc w:val="both"/>
        <w:rPr>
          <w:rFonts w:asciiTheme="majorHAnsi" w:hAnsiTheme="majorHAnsi" w:cstheme="majorHAnsi"/>
          <w:b/>
          <w:bCs/>
        </w:rPr>
      </w:pPr>
      <w:r w:rsidRPr="006477F3">
        <w:rPr>
          <w:rFonts w:asciiTheme="majorHAnsi" w:hAnsiTheme="majorHAnsi" w:cstheme="majorHAnsi"/>
          <w:b/>
          <w:bCs/>
        </w:rPr>
        <w:t>14.</w:t>
      </w:r>
      <w:r w:rsidRPr="006477F3">
        <w:rPr>
          <w:rFonts w:asciiTheme="majorHAnsi" w:hAnsiTheme="majorHAnsi" w:cstheme="majorHAnsi"/>
          <w:b/>
          <w:bCs/>
        </w:rPr>
        <w:tab/>
        <w:t>SOCCORSO ISTRUTTORIO</w:t>
      </w:r>
    </w:p>
    <w:p w14:paraId="5E627AD9" w14:textId="77777777" w:rsidR="003609FE" w:rsidRPr="006477F3" w:rsidRDefault="003609FE" w:rsidP="003609FE">
      <w:pPr>
        <w:jc w:val="both"/>
        <w:rPr>
          <w:rFonts w:asciiTheme="majorHAnsi" w:hAnsiTheme="majorHAnsi" w:cstheme="majorHAnsi"/>
        </w:rPr>
      </w:pPr>
      <w:r w:rsidRPr="006477F3">
        <w:rPr>
          <w:rFonts w:asciiTheme="majorHAnsi" w:hAnsiTheme="majorHAnsi" w:cstheme="majorHAnsi"/>
        </w:rPr>
        <w:t>Con la procedura di soccorso istruttorio di cui all’articolo 101 del Codice, possono essere sanate le carenze della documentazione amministrativa ma non quelle della documentazione che compone l’offerta tecnica e l’offerta economica.</w:t>
      </w:r>
    </w:p>
    <w:p w14:paraId="030FBD90" w14:textId="77777777" w:rsidR="003609FE" w:rsidRPr="006477F3" w:rsidRDefault="003609FE" w:rsidP="003609FE">
      <w:pPr>
        <w:jc w:val="both"/>
        <w:rPr>
          <w:rFonts w:asciiTheme="majorHAnsi" w:hAnsiTheme="majorHAnsi" w:cstheme="majorHAnsi"/>
        </w:rPr>
      </w:pPr>
      <w:r w:rsidRPr="006477F3">
        <w:rPr>
          <w:rFonts w:asciiTheme="majorHAnsi" w:hAnsiTheme="majorHAnsi" w:cstheme="majorHAnsi"/>
        </w:rPr>
        <w:t>Con la medesima procedura può essere sanata ogni omissione, inesattezza o irregolarità della documentazione amministrativa e di ogni altro documento richiesto per la partecipazione alla procedura di gara, con esclusione della documentazione che compone l’offerta tecnica e l’offerta economica. Non sono sanabili le omissioni, le inesattezze e irregolarità che rendono assolutamente incerta l’identità del concorrente.</w:t>
      </w:r>
    </w:p>
    <w:p w14:paraId="0DE7F1EA" w14:textId="77777777" w:rsidR="003609FE" w:rsidRPr="006477F3" w:rsidRDefault="003609FE" w:rsidP="003609FE">
      <w:pPr>
        <w:jc w:val="both"/>
        <w:rPr>
          <w:rFonts w:asciiTheme="majorHAnsi" w:hAnsiTheme="majorHAnsi" w:cstheme="majorHAnsi"/>
        </w:rPr>
      </w:pPr>
      <w:r w:rsidRPr="006477F3">
        <w:rPr>
          <w:rFonts w:asciiTheme="majorHAnsi" w:hAnsiTheme="majorHAnsi" w:cstheme="majorHAnsi"/>
        </w:rPr>
        <w:t>A titolo esemplificativo si chiarisce che:</w:t>
      </w:r>
    </w:p>
    <w:p w14:paraId="1638651F" w14:textId="32C2E017" w:rsidR="003609FE" w:rsidRPr="006477F3" w:rsidRDefault="003609FE" w:rsidP="0069424C">
      <w:pPr>
        <w:pStyle w:val="Paragrafoelenco"/>
        <w:numPr>
          <w:ilvl w:val="0"/>
          <w:numId w:val="22"/>
        </w:numPr>
        <w:jc w:val="both"/>
        <w:rPr>
          <w:rFonts w:asciiTheme="majorHAnsi" w:hAnsiTheme="majorHAnsi" w:cstheme="majorHAnsi"/>
        </w:rPr>
      </w:pPr>
      <w:r w:rsidRPr="006477F3">
        <w:rPr>
          <w:rFonts w:asciiTheme="majorHAnsi" w:hAnsiTheme="majorHAnsi" w:cstheme="majorHAnsi"/>
        </w:rPr>
        <w:t>il mancato possesso dei prescritti requisiti di partecipazione non è sanabile mediante soccorso istruttorio ed è causa di esclusione dalla procedura di gara;</w:t>
      </w:r>
    </w:p>
    <w:p w14:paraId="0C8C08D7" w14:textId="36218C8F" w:rsidR="003609FE" w:rsidRPr="006477F3" w:rsidRDefault="003609FE" w:rsidP="0069424C">
      <w:pPr>
        <w:pStyle w:val="Paragrafoelenco"/>
        <w:numPr>
          <w:ilvl w:val="0"/>
          <w:numId w:val="22"/>
        </w:numPr>
        <w:jc w:val="both"/>
        <w:rPr>
          <w:rFonts w:asciiTheme="majorHAnsi" w:hAnsiTheme="majorHAnsi" w:cstheme="majorHAnsi"/>
        </w:rPr>
      </w:pPr>
      <w:r w:rsidRPr="006477F3">
        <w:rPr>
          <w:rFonts w:asciiTheme="majorHAnsi" w:hAnsiTheme="majorHAnsi" w:cstheme="majorHAnsi"/>
        </w:rPr>
        <w:t>l’omessa o incompleta nonché irregolare presentazione delle dichiarazioni sul possesso dei requisiti di partecipazione e ogni altra mancanza, incompletezza o irregolarità della domanda, sono sanabili, ad eccezione delle false dichiarazioni;</w:t>
      </w:r>
    </w:p>
    <w:p w14:paraId="733BEAE2" w14:textId="0A309542" w:rsidR="003609FE" w:rsidRPr="006477F3" w:rsidRDefault="003609FE" w:rsidP="0069424C">
      <w:pPr>
        <w:pStyle w:val="Paragrafoelenco"/>
        <w:numPr>
          <w:ilvl w:val="0"/>
          <w:numId w:val="22"/>
        </w:numPr>
        <w:jc w:val="both"/>
        <w:rPr>
          <w:rFonts w:asciiTheme="majorHAnsi" w:hAnsiTheme="majorHAnsi" w:cstheme="majorHAnsi"/>
        </w:rPr>
      </w:pPr>
      <w:r w:rsidRPr="006477F3">
        <w:rPr>
          <w:rFonts w:asciiTheme="majorHAnsi" w:hAnsiTheme="majorHAnsi" w:cstheme="majorHAnsi"/>
        </w:rPr>
        <w:t>la mancata produzione del contratto di avvalimento, della garanzia provvisoria, del mandato collettivo speciale o dell’impegno a conferire mandato collettivo può essere oggetto di soccorso istruttorio solo se i citati documenti sono preesistenti e comprovabili con data certa anteriore al termine di presentazione dell’offerta;</w:t>
      </w:r>
    </w:p>
    <w:p w14:paraId="5CAEC494" w14:textId="1FEC01C7" w:rsidR="003609FE" w:rsidRPr="006477F3" w:rsidRDefault="003609FE" w:rsidP="0069424C">
      <w:pPr>
        <w:pStyle w:val="Paragrafoelenco"/>
        <w:numPr>
          <w:ilvl w:val="0"/>
          <w:numId w:val="22"/>
        </w:numPr>
        <w:jc w:val="both"/>
        <w:rPr>
          <w:rFonts w:asciiTheme="majorHAnsi" w:hAnsiTheme="majorHAnsi" w:cstheme="majorHAnsi"/>
        </w:rPr>
      </w:pPr>
      <w:r w:rsidRPr="006477F3">
        <w:rPr>
          <w:rFonts w:asciiTheme="majorHAnsi" w:hAnsiTheme="majorHAnsi" w:cstheme="majorHAnsi"/>
        </w:rPr>
        <w:lastRenderedPageBreak/>
        <w:t>il difetto di sottoscrizione della domanda di partecipazione, delle dichiarazioni richieste e dell’offerta è sanabile;</w:t>
      </w:r>
    </w:p>
    <w:p w14:paraId="37B851EF" w14:textId="2F75446D" w:rsidR="003609FE" w:rsidRPr="006477F3" w:rsidRDefault="003609FE" w:rsidP="0069424C">
      <w:pPr>
        <w:pStyle w:val="Paragrafoelenco"/>
        <w:numPr>
          <w:ilvl w:val="0"/>
          <w:numId w:val="22"/>
        </w:numPr>
        <w:jc w:val="both"/>
        <w:rPr>
          <w:rFonts w:asciiTheme="majorHAnsi" w:hAnsiTheme="majorHAnsi" w:cstheme="majorHAnsi"/>
        </w:rPr>
      </w:pPr>
      <w:r w:rsidRPr="006477F3">
        <w:rPr>
          <w:rFonts w:asciiTheme="majorHAnsi" w:hAnsiTheme="majorHAnsi" w:cstheme="majorHAnsi"/>
        </w:rPr>
        <w:t>la mancata indicazione del CCNL applicato nonché, in caso di indicazione di un CCNL differente da quello indicato negli atti di gara, la mancata presentazione della dichiarazione di equivalenza delle tutele sono sanabili;</w:t>
      </w:r>
    </w:p>
    <w:p w14:paraId="352C1471" w14:textId="26A6855A" w:rsidR="003609FE" w:rsidRPr="006477F3" w:rsidRDefault="003609FE" w:rsidP="0069424C">
      <w:pPr>
        <w:pStyle w:val="Paragrafoelenco"/>
        <w:numPr>
          <w:ilvl w:val="0"/>
          <w:numId w:val="22"/>
        </w:numPr>
        <w:jc w:val="both"/>
        <w:rPr>
          <w:rFonts w:asciiTheme="majorHAnsi" w:hAnsiTheme="majorHAnsi" w:cstheme="majorHAnsi"/>
        </w:rPr>
      </w:pPr>
      <w:r w:rsidRPr="006477F3">
        <w:rPr>
          <w:rFonts w:asciiTheme="majorHAnsi" w:hAnsiTheme="majorHAnsi" w:cstheme="majorHAnsi"/>
        </w:rPr>
        <w:t>se previsto al paragrafo 9, la mancata presentazione della dichiarazione di garantire la stabilità occupazionale del personale impiegato nonché la mancata presentazione di un progetto di assorbimento atto ad illustrare le concrete modalità di applicazione della clausola sociale sono sanabili, fatta eccezione per l’ipotesi in cui i suddetti documenti siano elementi caratterizzanti l’offerta e in quanto tali richiesti nell’ambito della busta tecnica ai fini della valutazione delle offerte tecniche;</w:t>
      </w:r>
    </w:p>
    <w:p w14:paraId="77190BFD" w14:textId="23DDE4D3" w:rsidR="003609FE" w:rsidRPr="006477F3" w:rsidRDefault="003609FE" w:rsidP="0069424C">
      <w:pPr>
        <w:pStyle w:val="Paragrafoelenco"/>
        <w:numPr>
          <w:ilvl w:val="0"/>
          <w:numId w:val="22"/>
        </w:numPr>
        <w:jc w:val="both"/>
        <w:rPr>
          <w:rFonts w:asciiTheme="majorHAnsi" w:hAnsiTheme="majorHAnsi" w:cstheme="majorHAnsi"/>
        </w:rPr>
      </w:pPr>
      <w:r w:rsidRPr="006477F3">
        <w:rPr>
          <w:rFonts w:asciiTheme="majorHAnsi" w:hAnsiTheme="majorHAnsi" w:cstheme="majorHAnsi"/>
        </w:rPr>
        <w:t>se previsto al paragrafo 9, la mancata presentazione nell’ambito della busta amministrativa della dichiarazione di impegno ad assicurare, in caso di aggiudicazione del contratto, l’assunzione di una quota di occupazione giovanile e femminile di cui al paragrafo 9 nonché la mancata presentazione della dichiarazione di impegno ad assicurare quanto stabilito dallo stesso paragrafo 9 relativamente alle pari opportunità generazionali, di genere e di inclusione lavorativa per le persone con disabilità o svantaggiate, o relativamente ai requisiti particolari per l’esecuzione del contratto ai sensi dell’art.113 del Codice, nonché la relativa documentazione probatoria, sono sanabili, fatta eccezione per l’ipotesi di procedure afferenti gli investimenti pubblici finanziati, in tutto o in parte, con le risorse del Piano nazionale di ripresa e resilienza e per l’ipotesi in cui i suddetti documenti siano elementi caratterizzanti l’offerta e in quanto tali richiesti nell’ambito della busta tecnica ai fini della valutazione delle offerte tecniche.</w:t>
      </w:r>
    </w:p>
    <w:p w14:paraId="16EDDA0E" w14:textId="54860985" w:rsidR="003609FE" w:rsidRPr="006477F3" w:rsidRDefault="003609FE" w:rsidP="0069424C">
      <w:pPr>
        <w:pStyle w:val="Paragrafoelenco"/>
        <w:numPr>
          <w:ilvl w:val="0"/>
          <w:numId w:val="22"/>
        </w:numPr>
        <w:jc w:val="both"/>
        <w:rPr>
          <w:rFonts w:asciiTheme="majorHAnsi" w:hAnsiTheme="majorHAnsi" w:cstheme="majorHAnsi"/>
        </w:rPr>
      </w:pPr>
      <w:r w:rsidRPr="006477F3">
        <w:rPr>
          <w:rFonts w:asciiTheme="majorHAnsi" w:hAnsiTheme="majorHAnsi" w:cstheme="majorHAnsi"/>
        </w:rPr>
        <w:t>è sanabile l’omessa dichiarazione sull’aver assolto agli obblighi di cui alla legge 68/1999;</w:t>
      </w:r>
    </w:p>
    <w:p w14:paraId="3DD3095A" w14:textId="70F03B89" w:rsidR="003609FE" w:rsidRPr="006477F3" w:rsidRDefault="003609FE" w:rsidP="0069424C">
      <w:pPr>
        <w:pStyle w:val="Paragrafoelenco"/>
        <w:numPr>
          <w:ilvl w:val="0"/>
          <w:numId w:val="22"/>
        </w:numPr>
        <w:jc w:val="both"/>
        <w:rPr>
          <w:rFonts w:asciiTheme="majorHAnsi" w:hAnsiTheme="majorHAnsi" w:cstheme="majorHAnsi"/>
        </w:rPr>
      </w:pPr>
      <w:r w:rsidRPr="006477F3">
        <w:rPr>
          <w:rFonts w:asciiTheme="majorHAnsi" w:hAnsiTheme="majorHAnsi" w:cstheme="majorHAnsi"/>
        </w:rPr>
        <w:t>sono sanabili, per i concorrenti che occupano oltre cinquanta dipendenti, l’omessa presentazione di copia dell’ultimo rapporto periodico sulla situazione del personale maschile e femminile, redatto ai sensi dell’articolo 46 decreto legislativo n. 198 del 2006, e la trasmissione dello stesso alle rappresentanze sindacali e ai consiglieri regionali di parità, purché redatto e trasmesso in data anteriore al termine per la presentazione delle offerte.</w:t>
      </w:r>
    </w:p>
    <w:p w14:paraId="641A995C" w14:textId="7369041F" w:rsidR="003609FE" w:rsidRPr="006477F3" w:rsidRDefault="003609FE" w:rsidP="003609FE">
      <w:pPr>
        <w:ind w:firstLine="60"/>
        <w:jc w:val="both"/>
        <w:rPr>
          <w:rFonts w:asciiTheme="majorHAnsi" w:hAnsiTheme="majorHAnsi" w:cstheme="majorHAnsi"/>
        </w:rPr>
      </w:pPr>
    </w:p>
    <w:p w14:paraId="6B7A4C31" w14:textId="23B9459C" w:rsidR="003609FE" w:rsidRPr="006477F3" w:rsidRDefault="003609FE" w:rsidP="003609FE">
      <w:pPr>
        <w:jc w:val="center"/>
        <w:rPr>
          <w:rFonts w:asciiTheme="majorHAnsi" w:hAnsiTheme="majorHAnsi" w:cstheme="majorHAnsi"/>
          <w:b/>
          <w:bCs/>
        </w:rPr>
      </w:pPr>
      <w:r w:rsidRPr="006477F3">
        <w:rPr>
          <w:rFonts w:asciiTheme="majorHAnsi" w:hAnsiTheme="majorHAnsi" w:cstheme="majorHAnsi"/>
          <w:b/>
          <w:bCs/>
        </w:rPr>
        <w:t>*******</w:t>
      </w:r>
    </w:p>
    <w:p w14:paraId="4DC9D19C" w14:textId="77777777" w:rsidR="003609FE" w:rsidRPr="006477F3" w:rsidRDefault="003609FE" w:rsidP="003609FE">
      <w:pPr>
        <w:jc w:val="both"/>
        <w:rPr>
          <w:rFonts w:asciiTheme="majorHAnsi" w:hAnsiTheme="majorHAnsi" w:cstheme="majorHAnsi"/>
        </w:rPr>
      </w:pPr>
      <w:r w:rsidRPr="006477F3">
        <w:rPr>
          <w:rFonts w:asciiTheme="majorHAnsi" w:hAnsiTheme="majorHAnsi" w:cstheme="majorHAnsi"/>
        </w:rPr>
        <w:t xml:space="preserve">Ai fini del soccorso istruttorio la stazione appaltante assegna al concorrente un termine di </w:t>
      </w:r>
      <w:r w:rsidRPr="006477F3">
        <w:rPr>
          <w:rFonts w:asciiTheme="majorHAnsi" w:hAnsiTheme="majorHAnsi" w:cstheme="majorHAnsi"/>
          <w:b/>
          <w:bCs/>
        </w:rPr>
        <w:t>7 giorni</w:t>
      </w:r>
      <w:r w:rsidRPr="006477F3">
        <w:rPr>
          <w:rFonts w:asciiTheme="majorHAnsi" w:hAnsiTheme="majorHAnsi" w:cstheme="majorHAnsi"/>
        </w:rPr>
        <w:t xml:space="preserve"> affinché siano rese, integrate o regolarizzate le dichiarazioni necessarie, indicando il contenuto e i soggetti che le devono rendere nonché la sezione della Piattaforma dove deve essere inserita la documentazione richiesta ovvero altro canale.</w:t>
      </w:r>
    </w:p>
    <w:p w14:paraId="527B3765" w14:textId="77777777" w:rsidR="003609FE" w:rsidRPr="006477F3" w:rsidRDefault="003609FE" w:rsidP="003609FE">
      <w:pPr>
        <w:jc w:val="both"/>
        <w:rPr>
          <w:rFonts w:asciiTheme="majorHAnsi" w:hAnsiTheme="majorHAnsi" w:cstheme="majorHAnsi"/>
        </w:rPr>
      </w:pPr>
      <w:r w:rsidRPr="006477F3">
        <w:rPr>
          <w:rFonts w:asciiTheme="majorHAnsi" w:hAnsiTheme="majorHAnsi" w:cstheme="majorHAnsi"/>
        </w:rPr>
        <w:t>In caso di inutile decorso del termine, la stazione appaltante procede all’esclusione del concorrente dalla procedura.</w:t>
      </w:r>
    </w:p>
    <w:p w14:paraId="5C0902D8" w14:textId="77777777" w:rsidR="003609FE" w:rsidRPr="006477F3" w:rsidRDefault="003609FE" w:rsidP="003609FE">
      <w:pPr>
        <w:jc w:val="both"/>
        <w:rPr>
          <w:rFonts w:asciiTheme="majorHAnsi" w:hAnsiTheme="majorHAnsi" w:cstheme="majorHAnsi"/>
        </w:rPr>
      </w:pPr>
      <w:r w:rsidRPr="006477F3">
        <w:rPr>
          <w:rFonts w:asciiTheme="majorHAnsi" w:hAnsiTheme="majorHAnsi" w:cstheme="majorHAnsi"/>
        </w:rPr>
        <w:t>Ove il concorrente produca dichiarazioni o documenti non perfettamente coerenti con la richiesta, la stazione appaltante può chiedere ulteriori precisazioni o chiarimenti, limitati alla documentazione presentata in fase di soccorso istruttorio, fissando un termine a pena di esclusione.</w:t>
      </w:r>
    </w:p>
    <w:p w14:paraId="60BEFA8C" w14:textId="77777777" w:rsidR="003609FE" w:rsidRPr="006477F3" w:rsidRDefault="003609FE" w:rsidP="003609FE">
      <w:pPr>
        <w:jc w:val="both"/>
        <w:rPr>
          <w:rFonts w:asciiTheme="majorHAnsi" w:hAnsiTheme="majorHAnsi" w:cstheme="majorHAnsi"/>
        </w:rPr>
      </w:pPr>
      <w:r w:rsidRPr="006477F3">
        <w:rPr>
          <w:rFonts w:asciiTheme="majorHAnsi" w:hAnsiTheme="majorHAnsi" w:cstheme="majorHAnsi"/>
        </w:rPr>
        <w:lastRenderedPageBreak/>
        <w:t>Al di fuori delle ipotesi di cui all’articolo 101 del Codice è facoltà della stazione appaltante invitare, se necessario, i concorrenti a fornire chiarimenti in ordine al contenuto dei certificati, documenti e dichiarazioni presentati secondo la tempistica sopra indicata.</w:t>
      </w:r>
    </w:p>
    <w:p w14:paraId="72F11540" w14:textId="77777777" w:rsidR="003609FE" w:rsidRPr="006477F3" w:rsidRDefault="003609FE" w:rsidP="003609FE">
      <w:pPr>
        <w:jc w:val="both"/>
        <w:rPr>
          <w:rFonts w:asciiTheme="majorHAnsi" w:hAnsiTheme="majorHAnsi" w:cstheme="majorHAnsi"/>
        </w:rPr>
      </w:pPr>
    </w:p>
    <w:p w14:paraId="49D358E3" w14:textId="77777777" w:rsidR="003609FE" w:rsidRPr="006477F3" w:rsidRDefault="003609FE" w:rsidP="003609FE">
      <w:pPr>
        <w:jc w:val="both"/>
        <w:rPr>
          <w:rFonts w:asciiTheme="majorHAnsi" w:hAnsiTheme="majorHAnsi" w:cstheme="majorHAnsi"/>
        </w:rPr>
      </w:pPr>
    </w:p>
    <w:p w14:paraId="4C05DD59" w14:textId="797E112D" w:rsidR="003609FE" w:rsidRPr="006477F3" w:rsidRDefault="003609FE" w:rsidP="003609FE">
      <w:pPr>
        <w:jc w:val="both"/>
        <w:rPr>
          <w:rFonts w:asciiTheme="majorHAnsi" w:hAnsiTheme="majorHAnsi" w:cstheme="majorHAnsi"/>
          <w:b/>
          <w:bCs/>
        </w:rPr>
      </w:pPr>
      <w:r w:rsidRPr="006477F3">
        <w:rPr>
          <w:rFonts w:asciiTheme="majorHAnsi" w:hAnsiTheme="majorHAnsi" w:cstheme="majorHAnsi"/>
          <w:b/>
          <w:bCs/>
        </w:rPr>
        <w:t>15.</w:t>
      </w:r>
      <w:r w:rsidRPr="006477F3">
        <w:rPr>
          <w:rFonts w:asciiTheme="majorHAnsi" w:hAnsiTheme="majorHAnsi" w:cstheme="majorHAnsi"/>
          <w:b/>
          <w:bCs/>
        </w:rPr>
        <w:tab/>
        <w:t>DOCUMENTAZIONE</w:t>
      </w:r>
      <w:r w:rsidRPr="006477F3">
        <w:rPr>
          <w:rFonts w:asciiTheme="majorHAnsi" w:hAnsiTheme="majorHAnsi" w:cstheme="majorHAnsi"/>
          <w:b/>
          <w:bCs/>
        </w:rPr>
        <w:tab/>
        <w:t>AMMINISTRATIVA</w:t>
      </w:r>
      <w:r w:rsidRPr="006477F3">
        <w:rPr>
          <w:rFonts w:asciiTheme="majorHAnsi" w:hAnsiTheme="majorHAnsi" w:cstheme="majorHAnsi"/>
          <w:b/>
          <w:bCs/>
        </w:rPr>
        <w:tab/>
        <w:t>–</w:t>
      </w:r>
      <w:r w:rsidRPr="006477F3">
        <w:rPr>
          <w:rFonts w:asciiTheme="majorHAnsi" w:hAnsiTheme="majorHAnsi" w:cstheme="majorHAnsi"/>
          <w:b/>
          <w:bCs/>
        </w:rPr>
        <w:tab/>
        <w:t>STEP</w:t>
      </w:r>
      <w:r w:rsidRPr="006477F3">
        <w:rPr>
          <w:rFonts w:asciiTheme="majorHAnsi" w:hAnsiTheme="majorHAnsi" w:cstheme="majorHAnsi"/>
          <w:b/>
          <w:bCs/>
        </w:rPr>
        <w:tab/>
        <w:t>1: BUSTA AMMINISTRATIVA</w:t>
      </w:r>
    </w:p>
    <w:p w14:paraId="13ED5796" w14:textId="180973DB" w:rsidR="003609FE" w:rsidRPr="006477F3" w:rsidRDefault="003609FE" w:rsidP="003609FE">
      <w:pPr>
        <w:jc w:val="both"/>
        <w:rPr>
          <w:rFonts w:asciiTheme="majorHAnsi" w:hAnsiTheme="majorHAnsi" w:cstheme="majorHAnsi"/>
        </w:rPr>
      </w:pPr>
      <w:r w:rsidRPr="006477F3">
        <w:rPr>
          <w:rFonts w:asciiTheme="majorHAnsi" w:hAnsiTheme="majorHAnsi" w:cstheme="majorHAnsi"/>
        </w:rPr>
        <w:t>Per la presentazione dell’offerta telematica ciascun concorrente deve seguire la procedura di seguito indicata:</w:t>
      </w:r>
    </w:p>
    <w:p w14:paraId="05778D0F" w14:textId="46DE504B" w:rsidR="003609FE" w:rsidRPr="006477F3" w:rsidRDefault="003609FE" w:rsidP="00A739BD">
      <w:pPr>
        <w:jc w:val="center"/>
        <w:rPr>
          <w:rFonts w:asciiTheme="majorHAnsi" w:hAnsiTheme="majorHAnsi" w:cstheme="majorHAnsi"/>
          <w:b/>
          <w:bCs/>
          <w:u w:val="single"/>
        </w:rPr>
      </w:pPr>
      <w:r w:rsidRPr="006477F3">
        <w:rPr>
          <w:rFonts w:asciiTheme="majorHAnsi" w:hAnsiTheme="majorHAnsi" w:cstheme="majorHAnsi"/>
        </w:rPr>
        <w:br/>
      </w:r>
      <w:r w:rsidRPr="006477F3">
        <w:rPr>
          <w:rFonts w:asciiTheme="majorHAnsi" w:hAnsiTheme="majorHAnsi" w:cstheme="majorHAnsi"/>
          <w:b/>
          <w:bCs/>
          <w:u w:val="single"/>
        </w:rPr>
        <w:t>Step 1 – Busta Amministrativa</w:t>
      </w:r>
    </w:p>
    <w:p w14:paraId="22BF8A00" w14:textId="77777777" w:rsidR="00A739BD" w:rsidRPr="006477F3" w:rsidRDefault="00A739BD" w:rsidP="00A739BD">
      <w:pPr>
        <w:jc w:val="both"/>
        <w:rPr>
          <w:rFonts w:asciiTheme="majorHAnsi" w:hAnsiTheme="majorHAnsi" w:cstheme="majorHAnsi"/>
        </w:rPr>
      </w:pPr>
      <w:r w:rsidRPr="006477F3">
        <w:rPr>
          <w:rFonts w:asciiTheme="majorHAnsi" w:hAnsiTheme="majorHAnsi" w:cstheme="majorHAnsi"/>
        </w:rPr>
        <w:t>Al primo step del percorso guidato “Invia Offerta” l’operatore economico, in aggiunta alle eventuali dichiarazioni direttamente da rendere sul Sistema, dovrà nella sezione DOCUMENTAZIONE AMMINISTRATIVA, inserire la seguente documentazione in formato elettronico:</w:t>
      </w:r>
    </w:p>
    <w:p w14:paraId="291DF360" w14:textId="77777777" w:rsidR="00A739BD" w:rsidRPr="006477F3" w:rsidRDefault="00A739BD" w:rsidP="00E9548C">
      <w:pPr>
        <w:ind w:left="705" w:hanging="705"/>
        <w:jc w:val="both"/>
        <w:rPr>
          <w:rFonts w:asciiTheme="majorHAnsi" w:hAnsiTheme="majorHAnsi" w:cstheme="majorHAnsi"/>
        </w:rPr>
      </w:pPr>
      <w:r w:rsidRPr="006477F3">
        <w:rPr>
          <w:rFonts w:asciiTheme="majorHAnsi" w:hAnsiTheme="majorHAnsi" w:cstheme="majorHAnsi"/>
        </w:rPr>
        <w:t>1)</w:t>
      </w:r>
      <w:r w:rsidRPr="006477F3">
        <w:rPr>
          <w:rFonts w:asciiTheme="majorHAnsi" w:hAnsiTheme="majorHAnsi" w:cstheme="majorHAnsi"/>
        </w:rPr>
        <w:tab/>
        <w:t>Domanda di partecipazione e dichiarazioni integrative (vedi modello predisposto dalla Stazione Appaltante);</w:t>
      </w:r>
    </w:p>
    <w:p w14:paraId="2CA1460A" w14:textId="03150687" w:rsidR="00A739BD" w:rsidRPr="006477F3" w:rsidRDefault="00A739BD" w:rsidP="00A739BD">
      <w:pPr>
        <w:jc w:val="both"/>
        <w:rPr>
          <w:rFonts w:asciiTheme="majorHAnsi" w:hAnsiTheme="majorHAnsi" w:cstheme="majorHAnsi"/>
        </w:rPr>
      </w:pPr>
      <w:r w:rsidRPr="006477F3">
        <w:rPr>
          <w:rFonts w:asciiTheme="majorHAnsi" w:hAnsiTheme="majorHAnsi" w:cstheme="majorHAnsi"/>
        </w:rPr>
        <w:t>2)</w:t>
      </w:r>
      <w:r w:rsidRPr="006477F3">
        <w:rPr>
          <w:rFonts w:asciiTheme="majorHAnsi" w:hAnsiTheme="majorHAnsi" w:cstheme="majorHAnsi"/>
        </w:rPr>
        <w:tab/>
        <w:t>DGUE response;</w:t>
      </w:r>
    </w:p>
    <w:p w14:paraId="4208B7E3" w14:textId="45D93ACA" w:rsidR="00A739BD" w:rsidRPr="006477F3" w:rsidRDefault="00FD2B2F" w:rsidP="00A739BD">
      <w:pPr>
        <w:jc w:val="both"/>
        <w:rPr>
          <w:rFonts w:asciiTheme="majorHAnsi" w:hAnsiTheme="majorHAnsi" w:cstheme="majorHAnsi"/>
        </w:rPr>
      </w:pPr>
      <w:r>
        <w:rPr>
          <w:rFonts w:asciiTheme="majorHAnsi" w:hAnsiTheme="majorHAnsi" w:cstheme="majorHAnsi"/>
        </w:rPr>
        <w:t>3</w:t>
      </w:r>
      <w:r w:rsidR="00A739BD" w:rsidRPr="006477F3">
        <w:rPr>
          <w:rFonts w:asciiTheme="majorHAnsi" w:hAnsiTheme="majorHAnsi" w:cstheme="majorHAnsi"/>
        </w:rPr>
        <w:t>)</w:t>
      </w:r>
      <w:r w:rsidR="00A739BD" w:rsidRPr="006477F3">
        <w:rPr>
          <w:rFonts w:asciiTheme="majorHAnsi" w:hAnsiTheme="majorHAnsi" w:cstheme="majorHAnsi"/>
        </w:rPr>
        <w:tab/>
        <w:t>Garanzia provvisoria;</w:t>
      </w:r>
    </w:p>
    <w:p w14:paraId="63835987" w14:textId="5F74D576" w:rsidR="00A739BD" w:rsidRPr="006477F3" w:rsidRDefault="00FD2B2F" w:rsidP="00A739BD">
      <w:pPr>
        <w:jc w:val="both"/>
        <w:rPr>
          <w:rFonts w:asciiTheme="majorHAnsi" w:hAnsiTheme="majorHAnsi" w:cstheme="majorHAnsi"/>
        </w:rPr>
      </w:pPr>
      <w:r>
        <w:rPr>
          <w:rFonts w:asciiTheme="majorHAnsi" w:hAnsiTheme="majorHAnsi" w:cstheme="majorHAnsi"/>
        </w:rPr>
        <w:t>4</w:t>
      </w:r>
      <w:r w:rsidR="00A739BD" w:rsidRPr="006477F3">
        <w:rPr>
          <w:rFonts w:asciiTheme="majorHAnsi" w:hAnsiTheme="majorHAnsi" w:cstheme="majorHAnsi"/>
        </w:rPr>
        <w:t>)</w:t>
      </w:r>
      <w:r w:rsidR="00A739BD" w:rsidRPr="006477F3">
        <w:rPr>
          <w:rFonts w:asciiTheme="majorHAnsi" w:hAnsiTheme="majorHAnsi" w:cstheme="majorHAnsi"/>
        </w:rPr>
        <w:tab/>
        <w:t>Copia informatica della ricevuta di avvenuto pagamento del contributo all’ANAC;</w:t>
      </w:r>
    </w:p>
    <w:p w14:paraId="410E769F" w14:textId="36960673" w:rsidR="00A739BD" w:rsidRPr="006477F3" w:rsidRDefault="00FD2B2F" w:rsidP="00E9548C">
      <w:pPr>
        <w:ind w:left="705" w:hanging="705"/>
        <w:jc w:val="both"/>
        <w:rPr>
          <w:rFonts w:asciiTheme="majorHAnsi" w:hAnsiTheme="majorHAnsi" w:cstheme="majorHAnsi"/>
        </w:rPr>
      </w:pPr>
      <w:r>
        <w:rPr>
          <w:rFonts w:asciiTheme="majorHAnsi" w:hAnsiTheme="majorHAnsi" w:cstheme="majorHAnsi"/>
        </w:rPr>
        <w:t>5</w:t>
      </w:r>
      <w:r w:rsidR="00A739BD" w:rsidRPr="006477F3">
        <w:rPr>
          <w:rFonts w:asciiTheme="majorHAnsi" w:hAnsiTheme="majorHAnsi" w:cstheme="majorHAnsi"/>
        </w:rPr>
        <w:t>)</w:t>
      </w:r>
      <w:r w:rsidR="00A739BD" w:rsidRPr="006477F3">
        <w:rPr>
          <w:rFonts w:asciiTheme="majorHAnsi" w:hAnsiTheme="majorHAnsi" w:cstheme="majorHAnsi"/>
        </w:rPr>
        <w:tab/>
      </w:r>
      <w:r>
        <w:rPr>
          <w:rFonts w:asciiTheme="majorHAnsi" w:hAnsiTheme="majorHAnsi" w:cstheme="majorHAnsi"/>
        </w:rPr>
        <w:t>I</w:t>
      </w:r>
      <w:r w:rsidR="00A739BD" w:rsidRPr="006477F3">
        <w:rPr>
          <w:rFonts w:asciiTheme="majorHAnsi" w:hAnsiTheme="majorHAnsi" w:cstheme="majorHAnsi"/>
        </w:rPr>
        <w:t>l progetto di assorbimento atto ad illustrare le concrete modalità di applicazione della clausola sociale di cui al paragrafo 9;</w:t>
      </w:r>
    </w:p>
    <w:p w14:paraId="62E97EC9" w14:textId="030A25DA" w:rsidR="00A739BD" w:rsidRPr="006477F3" w:rsidRDefault="00FD2B2F" w:rsidP="00A739BD">
      <w:pPr>
        <w:jc w:val="both"/>
        <w:rPr>
          <w:rFonts w:asciiTheme="majorHAnsi" w:hAnsiTheme="majorHAnsi" w:cstheme="majorHAnsi"/>
        </w:rPr>
      </w:pPr>
      <w:r>
        <w:rPr>
          <w:rFonts w:asciiTheme="majorHAnsi" w:hAnsiTheme="majorHAnsi" w:cstheme="majorHAnsi"/>
        </w:rPr>
        <w:t>6</w:t>
      </w:r>
      <w:r w:rsidR="00A739BD" w:rsidRPr="006477F3">
        <w:rPr>
          <w:rFonts w:asciiTheme="majorHAnsi" w:hAnsiTheme="majorHAnsi" w:cstheme="majorHAnsi"/>
        </w:rPr>
        <w:t>)</w:t>
      </w:r>
      <w:r w:rsidR="00A739BD" w:rsidRPr="006477F3">
        <w:rPr>
          <w:rFonts w:asciiTheme="majorHAnsi" w:hAnsiTheme="majorHAnsi" w:cstheme="majorHAnsi"/>
        </w:rPr>
        <w:tab/>
      </w:r>
      <w:r>
        <w:rPr>
          <w:rFonts w:asciiTheme="majorHAnsi" w:hAnsiTheme="majorHAnsi" w:cstheme="majorHAnsi"/>
        </w:rPr>
        <w:t>D</w:t>
      </w:r>
      <w:r w:rsidR="00A739BD" w:rsidRPr="006477F3">
        <w:rPr>
          <w:rFonts w:asciiTheme="majorHAnsi" w:hAnsiTheme="majorHAnsi" w:cstheme="majorHAnsi"/>
        </w:rPr>
        <w:t>ocumentazione in caso di avvalimento di cui al punto 15.3;</w:t>
      </w:r>
    </w:p>
    <w:p w14:paraId="32B1DABC" w14:textId="3267C4F4" w:rsidR="00A739BD" w:rsidRPr="006477F3" w:rsidRDefault="00FD2B2F" w:rsidP="00E9548C">
      <w:pPr>
        <w:ind w:left="705" w:hanging="705"/>
        <w:jc w:val="both"/>
        <w:rPr>
          <w:rFonts w:asciiTheme="majorHAnsi" w:hAnsiTheme="majorHAnsi" w:cstheme="majorHAnsi"/>
        </w:rPr>
      </w:pPr>
      <w:r>
        <w:rPr>
          <w:rFonts w:asciiTheme="majorHAnsi" w:hAnsiTheme="majorHAnsi" w:cstheme="majorHAnsi"/>
        </w:rPr>
        <w:t>7</w:t>
      </w:r>
      <w:r w:rsidR="00A739BD" w:rsidRPr="006477F3">
        <w:rPr>
          <w:rFonts w:asciiTheme="majorHAnsi" w:hAnsiTheme="majorHAnsi" w:cstheme="majorHAnsi"/>
        </w:rPr>
        <w:t>)</w:t>
      </w:r>
      <w:r w:rsidR="00A739BD" w:rsidRPr="006477F3">
        <w:rPr>
          <w:rFonts w:asciiTheme="majorHAnsi" w:hAnsiTheme="majorHAnsi" w:cstheme="majorHAnsi"/>
        </w:rPr>
        <w:tab/>
      </w:r>
      <w:r>
        <w:rPr>
          <w:rFonts w:asciiTheme="majorHAnsi" w:hAnsiTheme="majorHAnsi" w:cstheme="majorHAnsi"/>
        </w:rPr>
        <w:t>D</w:t>
      </w:r>
      <w:r w:rsidR="00A739BD" w:rsidRPr="006477F3">
        <w:rPr>
          <w:rFonts w:asciiTheme="majorHAnsi" w:hAnsiTheme="majorHAnsi" w:cstheme="majorHAnsi"/>
        </w:rPr>
        <w:t>ichiarazione integrativa in caso di concordato preventivo con continuità aziendale di cui al paragrafo 15.2 (già presente nel modello predisposto dalla Stazione Appaltante) completa di documentazione ivi prevista;</w:t>
      </w:r>
    </w:p>
    <w:p w14:paraId="1AFA6167" w14:textId="5A4936B8" w:rsidR="00A739BD" w:rsidRPr="006477F3" w:rsidRDefault="00FD2B2F" w:rsidP="00E9548C">
      <w:pPr>
        <w:ind w:left="705" w:hanging="705"/>
        <w:jc w:val="both"/>
        <w:rPr>
          <w:rFonts w:asciiTheme="majorHAnsi" w:hAnsiTheme="majorHAnsi" w:cstheme="majorHAnsi"/>
        </w:rPr>
      </w:pPr>
      <w:r>
        <w:rPr>
          <w:rFonts w:asciiTheme="majorHAnsi" w:hAnsiTheme="majorHAnsi" w:cstheme="majorHAnsi"/>
        </w:rPr>
        <w:t>8</w:t>
      </w:r>
      <w:r w:rsidR="00A739BD" w:rsidRPr="006477F3">
        <w:rPr>
          <w:rFonts w:asciiTheme="majorHAnsi" w:hAnsiTheme="majorHAnsi" w:cstheme="majorHAnsi"/>
        </w:rPr>
        <w:t>)</w:t>
      </w:r>
      <w:r w:rsidR="00A739BD" w:rsidRPr="006477F3">
        <w:rPr>
          <w:rFonts w:asciiTheme="majorHAnsi" w:hAnsiTheme="majorHAnsi" w:cstheme="majorHAnsi"/>
        </w:rPr>
        <w:tab/>
        <w:t>(Per gli operatori economici che occupano oltre cinquanta dipendenti:) copia dell'ultimo rapporto sulla situazione del personale maschile e femminile, redatto ai sensi dell'articolo 46, comma 2, decreto legislativo n. 198/2006, con attestazione della sua conformità a quello</w:t>
      </w:r>
      <w:r w:rsidR="00140CCD" w:rsidRPr="006477F3">
        <w:rPr>
          <w:rFonts w:asciiTheme="majorHAnsi" w:hAnsiTheme="majorHAnsi" w:cstheme="majorHAnsi"/>
        </w:rPr>
        <w:t xml:space="preserve"> </w:t>
      </w:r>
      <w:r w:rsidR="00A739BD" w:rsidRPr="006477F3">
        <w:rPr>
          <w:rFonts w:asciiTheme="majorHAnsi" w:hAnsiTheme="majorHAnsi" w:cstheme="majorHAnsi"/>
        </w:rPr>
        <w:t xml:space="preserve">eventualmente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 (ai sensi dell’articolo 47, comma 2, decreto legge 77/2021). In caso di RTI/Consorzi ordinari o di Consorzi di cui all’art.65 co.2 lettere b), c) e d) del Codice, la copia del rapporto e la relativa attestazione dovranno essere prodotte da ciascuna impresa del RTI, dal Consorzio nonché da ciascuna consorziata esecutrice e da ciascuna consorziata non esecutrice che presta i requisiti, qualora tenute alla redazione del rapporto ai sensi dell’art. 46 del D.lgs. n. 198/2006. Gli operatori economici non stabiliti in Italia dovranno produrre documentazione idonea ed equivalente volta ad attestare l’assolvimento degli obblighi in materia di pari opportunità, generazionali e di genere e di inclusione delle persone diversamente abili, in relazione alle procedure afferenti agli investimenti pubblici finanziati, in tutto o in parte, con le risorse previste dal Regolamento (UE) 2021/240 del Parlamento europeo e del Consiglio del 10 febbraio 2021 e dal Regolamento (UE) 2021/241 del Parlamento europeo e del Consiglio del 12 febbraio 2021, secondo la legislazione vigente nello Stato di appartenenza ovvero una </w:t>
      </w:r>
      <w:r w:rsidR="00A739BD" w:rsidRPr="006477F3">
        <w:rPr>
          <w:rFonts w:asciiTheme="majorHAnsi" w:hAnsiTheme="majorHAnsi" w:cstheme="majorHAnsi"/>
        </w:rPr>
        <w:lastRenderedPageBreak/>
        <w:t>dichiarazione giurata in cui si attesta che i documenti comprovanti il possesso dei requisiti di cui sopra non sono rilasciati o non menzionano tutti i casi previsti.</w:t>
      </w:r>
    </w:p>
    <w:p w14:paraId="12777973" w14:textId="16583CF3" w:rsidR="00A739BD" w:rsidRPr="006477F3" w:rsidRDefault="00A739BD" w:rsidP="00A739BD">
      <w:pPr>
        <w:jc w:val="both"/>
        <w:rPr>
          <w:rFonts w:asciiTheme="majorHAnsi" w:hAnsiTheme="majorHAnsi" w:cstheme="majorHAnsi"/>
        </w:rPr>
      </w:pPr>
      <w:r w:rsidRPr="006477F3">
        <w:rPr>
          <w:rFonts w:asciiTheme="majorHAnsi" w:hAnsiTheme="majorHAnsi" w:cstheme="majorHAnsi"/>
        </w:rPr>
        <w:t>Avvertenze: Al fine di facilitare la presentazione della documentazione amministrativa sono resi disponibili tra gli allegati a</w:t>
      </w:r>
      <w:r w:rsidR="0047678A">
        <w:rPr>
          <w:rFonts w:asciiTheme="majorHAnsi" w:hAnsiTheme="majorHAnsi" w:cstheme="majorHAnsi"/>
        </w:rPr>
        <w:t>l</w:t>
      </w:r>
      <w:r w:rsidRPr="006477F3">
        <w:rPr>
          <w:rFonts w:asciiTheme="majorHAnsi" w:hAnsiTheme="majorHAnsi" w:cstheme="majorHAnsi"/>
        </w:rPr>
        <w:t>l</w:t>
      </w:r>
      <w:r w:rsidR="0047678A">
        <w:rPr>
          <w:rFonts w:asciiTheme="majorHAnsi" w:hAnsiTheme="majorHAnsi" w:cstheme="majorHAnsi"/>
        </w:rPr>
        <w:t>a</w:t>
      </w:r>
      <w:r w:rsidRPr="006477F3">
        <w:rPr>
          <w:rFonts w:asciiTheme="majorHAnsi" w:hAnsiTheme="majorHAnsi" w:cstheme="majorHAnsi"/>
        </w:rPr>
        <w:t xml:space="preserve"> presente </w:t>
      </w:r>
      <w:r w:rsidR="0047678A">
        <w:rPr>
          <w:rFonts w:asciiTheme="majorHAnsi" w:hAnsiTheme="majorHAnsi" w:cstheme="majorHAnsi"/>
        </w:rPr>
        <w:t>lettera di invito</w:t>
      </w:r>
      <w:r w:rsidRPr="006477F3">
        <w:rPr>
          <w:rFonts w:asciiTheme="majorHAnsi" w:hAnsiTheme="majorHAnsi" w:cstheme="majorHAnsi"/>
        </w:rPr>
        <w:t xml:space="preserve"> i seguenti modelli:</w:t>
      </w:r>
    </w:p>
    <w:p w14:paraId="0C7AD9C4" w14:textId="075E6F1E" w:rsidR="00A739BD" w:rsidRPr="006477F3" w:rsidRDefault="00A739BD" w:rsidP="00A739BD">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Domanda di partecipazione e dichiarazioni integrative connesse;</w:t>
      </w:r>
    </w:p>
    <w:p w14:paraId="048188EA" w14:textId="1FD2D838" w:rsidR="00A739BD" w:rsidRPr="006477F3" w:rsidRDefault="00A739BD" w:rsidP="00A739BD">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r>
      <w:r w:rsidRPr="0047678A">
        <w:rPr>
          <w:rFonts w:asciiTheme="majorHAnsi" w:hAnsiTheme="majorHAnsi" w:cstheme="majorHAnsi"/>
        </w:rPr>
        <w:t>Dichiarazioni integrative in caso di avvalimento.</w:t>
      </w:r>
    </w:p>
    <w:p w14:paraId="50FDF89D" w14:textId="77777777" w:rsidR="00140CCD" w:rsidRPr="006477F3" w:rsidRDefault="00140CCD" w:rsidP="00A739BD">
      <w:pPr>
        <w:jc w:val="both"/>
        <w:rPr>
          <w:rFonts w:asciiTheme="majorHAnsi" w:hAnsiTheme="majorHAnsi" w:cstheme="majorHAnsi"/>
        </w:rPr>
      </w:pPr>
    </w:p>
    <w:p w14:paraId="7E8F2AC0" w14:textId="77777777" w:rsidR="00140CCD" w:rsidRPr="006477F3" w:rsidRDefault="00140CCD" w:rsidP="00A739BD">
      <w:pPr>
        <w:jc w:val="both"/>
        <w:rPr>
          <w:rFonts w:asciiTheme="majorHAnsi" w:hAnsiTheme="majorHAnsi" w:cstheme="majorHAnsi"/>
        </w:rPr>
      </w:pPr>
    </w:p>
    <w:p w14:paraId="07F52ECC" w14:textId="77777777" w:rsidR="00140CCD" w:rsidRPr="00E9548C" w:rsidRDefault="00140CCD" w:rsidP="00140CCD">
      <w:pPr>
        <w:jc w:val="both"/>
        <w:rPr>
          <w:rFonts w:asciiTheme="majorHAnsi" w:hAnsiTheme="majorHAnsi" w:cstheme="majorHAnsi"/>
        </w:rPr>
      </w:pPr>
      <w:r w:rsidRPr="00E9548C">
        <w:rPr>
          <w:rFonts w:asciiTheme="majorHAnsi" w:hAnsiTheme="majorHAnsi" w:cstheme="majorHAnsi"/>
        </w:rPr>
        <w:t>15.1</w:t>
      </w:r>
      <w:r w:rsidRPr="00E9548C">
        <w:rPr>
          <w:rFonts w:asciiTheme="majorHAnsi" w:hAnsiTheme="majorHAnsi" w:cstheme="majorHAnsi"/>
        </w:rPr>
        <w:tab/>
        <w:t>DOMANDA DI PARTECIPAZIONE E DICHIARAZIONI DI PARTECIPAZIONE INTEGRATIVE</w:t>
      </w:r>
    </w:p>
    <w:p w14:paraId="64110C84" w14:textId="18068068" w:rsidR="00140CCD" w:rsidRPr="006477F3" w:rsidRDefault="00140CCD" w:rsidP="00140CCD">
      <w:pPr>
        <w:jc w:val="both"/>
        <w:rPr>
          <w:rFonts w:asciiTheme="majorHAnsi" w:hAnsiTheme="majorHAnsi" w:cstheme="majorHAnsi"/>
        </w:rPr>
      </w:pPr>
      <w:r w:rsidRPr="006477F3">
        <w:rPr>
          <w:rFonts w:asciiTheme="majorHAnsi" w:hAnsiTheme="majorHAnsi" w:cstheme="majorHAnsi"/>
        </w:rPr>
        <w:t>La domanda di partecipazione è redatta preferibilmente secondo il modello allegato al</w:t>
      </w:r>
      <w:r w:rsidR="0047678A">
        <w:rPr>
          <w:rFonts w:asciiTheme="majorHAnsi" w:hAnsiTheme="majorHAnsi" w:cstheme="majorHAnsi"/>
        </w:rPr>
        <w:t>la</w:t>
      </w:r>
      <w:r w:rsidRPr="006477F3">
        <w:rPr>
          <w:rFonts w:asciiTheme="majorHAnsi" w:hAnsiTheme="majorHAnsi" w:cstheme="majorHAnsi"/>
        </w:rPr>
        <w:t xml:space="preserve"> presente </w:t>
      </w:r>
      <w:r w:rsidR="0047678A">
        <w:rPr>
          <w:rFonts w:asciiTheme="majorHAnsi" w:hAnsiTheme="majorHAnsi" w:cstheme="majorHAnsi"/>
        </w:rPr>
        <w:t>lettera di invito</w:t>
      </w:r>
      <w:r w:rsidRPr="006477F3">
        <w:rPr>
          <w:rFonts w:asciiTheme="majorHAnsi" w:hAnsiTheme="majorHAnsi" w:cstheme="majorHAnsi"/>
        </w:rPr>
        <w:t>.</w:t>
      </w:r>
    </w:p>
    <w:p w14:paraId="7D1A1DEF" w14:textId="77777777" w:rsidR="00140CCD" w:rsidRPr="006477F3" w:rsidRDefault="00140CCD" w:rsidP="00140CCD">
      <w:pPr>
        <w:jc w:val="both"/>
        <w:rPr>
          <w:rFonts w:asciiTheme="majorHAnsi" w:hAnsiTheme="majorHAnsi" w:cstheme="majorHAnsi"/>
        </w:rPr>
      </w:pPr>
      <w:r w:rsidRPr="006477F3">
        <w:rPr>
          <w:rFonts w:asciiTheme="majorHAnsi" w:hAnsiTheme="majorHAnsi" w:cstheme="majorHAnsi"/>
        </w:rPr>
        <w:t>Nella domanda di partecipazione il concorrente indica i propri dati identificativi (ragione sociale, codice fiscale, sede), la forma singola o associata con la quale partecipa alla gara.</w:t>
      </w:r>
    </w:p>
    <w:p w14:paraId="6DFB4EEF" w14:textId="77777777" w:rsidR="00140CCD" w:rsidRPr="006477F3" w:rsidRDefault="00140CCD" w:rsidP="00140CCD">
      <w:pPr>
        <w:jc w:val="both"/>
        <w:rPr>
          <w:rFonts w:asciiTheme="majorHAnsi" w:hAnsiTheme="majorHAnsi" w:cstheme="majorHAnsi"/>
        </w:rPr>
      </w:pPr>
      <w:r w:rsidRPr="006477F3">
        <w:rPr>
          <w:rFonts w:asciiTheme="majorHAnsi" w:hAnsiTheme="majorHAnsi" w:cstheme="majorHAnsi"/>
        </w:rPr>
        <w:t>In caso di raggruppamento temporaneo, consorzio ordinario, aggregazione di retisti, GEIE, il concorrente fornisce i dati identificativi (ragione sociale, codice fiscale, sede) e il ruolo di ciascun partecipante. In caso di consorzio di cooperative, consorzio imprese artigiane o di consorzio stabile di cui all’articolo 65, comma 2 lettera b), c), d) del Codice, il consorzio indica le consorziate per le quali concorre alla gara nonché –ove ammesso- le eventuali consorziate non esecutrici che prestano i requisiti.</w:t>
      </w:r>
    </w:p>
    <w:p w14:paraId="5D10236E" w14:textId="77777777" w:rsidR="00140CCD" w:rsidRPr="006477F3" w:rsidRDefault="00140CCD" w:rsidP="00140CCD">
      <w:pPr>
        <w:jc w:val="both"/>
        <w:rPr>
          <w:rFonts w:asciiTheme="majorHAnsi" w:hAnsiTheme="majorHAnsi" w:cstheme="majorHAnsi"/>
        </w:rPr>
      </w:pPr>
      <w:r w:rsidRPr="006477F3">
        <w:rPr>
          <w:rFonts w:asciiTheme="majorHAnsi" w:hAnsiTheme="majorHAnsi" w:cstheme="majorHAnsi"/>
        </w:rPr>
        <w:t>La domanda di partecipazione è sottoscritta ai sensi del decreto legislativo n. 82/2005:</w:t>
      </w:r>
    </w:p>
    <w:p w14:paraId="4F2C0F7F" w14:textId="3FE46845" w:rsidR="00140CCD" w:rsidRPr="006477F3" w:rsidRDefault="00140CCD" w:rsidP="0069424C">
      <w:pPr>
        <w:pStyle w:val="Paragrafoelenco"/>
        <w:numPr>
          <w:ilvl w:val="0"/>
          <w:numId w:val="23"/>
        </w:numPr>
        <w:jc w:val="both"/>
        <w:rPr>
          <w:rFonts w:asciiTheme="majorHAnsi" w:hAnsiTheme="majorHAnsi" w:cstheme="majorHAnsi"/>
        </w:rPr>
      </w:pPr>
      <w:r w:rsidRPr="006477F3">
        <w:rPr>
          <w:rFonts w:asciiTheme="majorHAnsi" w:hAnsiTheme="majorHAnsi" w:cstheme="majorHAnsi"/>
        </w:rPr>
        <w:t>dal concorrente che partecipa in forma singola;</w:t>
      </w:r>
    </w:p>
    <w:p w14:paraId="685B617D" w14:textId="22E19BF2" w:rsidR="00140CCD" w:rsidRPr="006477F3" w:rsidRDefault="00140CCD" w:rsidP="0069424C">
      <w:pPr>
        <w:pStyle w:val="Paragrafoelenco"/>
        <w:numPr>
          <w:ilvl w:val="0"/>
          <w:numId w:val="23"/>
        </w:numPr>
        <w:jc w:val="both"/>
        <w:rPr>
          <w:rFonts w:asciiTheme="majorHAnsi" w:hAnsiTheme="majorHAnsi" w:cstheme="majorHAnsi"/>
        </w:rPr>
      </w:pPr>
      <w:r w:rsidRPr="006477F3">
        <w:rPr>
          <w:rFonts w:asciiTheme="majorHAnsi" w:hAnsiTheme="majorHAnsi" w:cstheme="majorHAnsi"/>
        </w:rPr>
        <w:t>nel caso di raggruppamento temporaneo o consorzio ordinario o GEIE costituiti, dalla mandataria/capofila;</w:t>
      </w:r>
    </w:p>
    <w:p w14:paraId="6BBBEAE7" w14:textId="1B2BBD9B" w:rsidR="00140CCD" w:rsidRPr="006477F3" w:rsidRDefault="00140CCD" w:rsidP="0069424C">
      <w:pPr>
        <w:pStyle w:val="Paragrafoelenco"/>
        <w:numPr>
          <w:ilvl w:val="0"/>
          <w:numId w:val="23"/>
        </w:numPr>
        <w:jc w:val="both"/>
        <w:rPr>
          <w:rFonts w:asciiTheme="majorHAnsi" w:hAnsiTheme="majorHAnsi" w:cstheme="majorHAnsi"/>
        </w:rPr>
      </w:pPr>
      <w:r w:rsidRPr="006477F3">
        <w:rPr>
          <w:rFonts w:asciiTheme="majorHAnsi" w:hAnsiTheme="majorHAnsi" w:cstheme="majorHAnsi"/>
        </w:rPr>
        <w:t>nel caso di raggruppamento temporaneo o consorzio ordinario o GEIE non ancora costituiti, da tutti i soggetti che costituiranno il raggruppamento o il consorzio o il gruppo;</w:t>
      </w:r>
    </w:p>
    <w:p w14:paraId="232F8659" w14:textId="205689C7" w:rsidR="00140CCD" w:rsidRPr="006477F3" w:rsidRDefault="00140CCD" w:rsidP="0069424C">
      <w:pPr>
        <w:pStyle w:val="Paragrafoelenco"/>
        <w:numPr>
          <w:ilvl w:val="0"/>
          <w:numId w:val="23"/>
        </w:numPr>
        <w:jc w:val="both"/>
        <w:rPr>
          <w:rFonts w:asciiTheme="majorHAnsi" w:hAnsiTheme="majorHAnsi" w:cstheme="majorHAnsi"/>
        </w:rPr>
      </w:pPr>
      <w:r w:rsidRPr="006477F3">
        <w:rPr>
          <w:rFonts w:asciiTheme="majorHAnsi" w:hAnsiTheme="majorHAnsi" w:cstheme="majorHAnsi"/>
        </w:rPr>
        <w:t>nel caso di aggregazioni di retisti:</w:t>
      </w:r>
    </w:p>
    <w:p w14:paraId="7141C37E" w14:textId="18312718" w:rsidR="00140CCD" w:rsidRPr="006477F3" w:rsidRDefault="00140CCD" w:rsidP="0069424C">
      <w:pPr>
        <w:pStyle w:val="Paragrafoelenco"/>
        <w:numPr>
          <w:ilvl w:val="0"/>
          <w:numId w:val="24"/>
        </w:numPr>
        <w:jc w:val="both"/>
        <w:rPr>
          <w:rFonts w:asciiTheme="majorHAnsi" w:hAnsiTheme="majorHAnsi" w:cstheme="majorHAnsi"/>
        </w:rPr>
      </w:pPr>
      <w:r w:rsidRPr="006477F3">
        <w:rPr>
          <w:rFonts w:asciiTheme="majorHAnsi" w:hAnsiTheme="majorHAnsi" w:cstheme="majorHAnsi"/>
        </w:rPr>
        <w:t>se la rete è dotata di un organo comune con potere di rappresentanza e con soggettività giuridica, ai sensi dell’articolo 3, comma 4-quater, del decreto legge 10 febbraio 2009, n. 5, la dichiarazione di partecipazione deve essere sottoscritta dal solo operatore economico che riveste la funzione di organo comune;</w:t>
      </w:r>
    </w:p>
    <w:p w14:paraId="02F5BDB3" w14:textId="15CE2F74" w:rsidR="00140CCD" w:rsidRPr="006477F3" w:rsidRDefault="00140CCD" w:rsidP="0069424C">
      <w:pPr>
        <w:pStyle w:val="Paragrafoelenco"/>
        <w:numPr>
          <w:ilvl w:val="0"/>
          <w:numId w:val="24"/>
        </w:numPr>
        <w:jc w:val="both"/>
        <w:rPr>
          <w:rFonts w:asciiTheme="majorHAnsi" w:hAnsiTheme="majorHAnsi" w:cstheme="majorHAnsi"/>
        </w:rPr>
      </w:pPr>
      <w:r w:rsidRPr="006477F3">
        <w:rPr>
          <w:rFonts w:asciiTheme="majorHAnsi" w:hAnsiTheme="majorHAnsi" w:cstheme="majorHAnsi"/>
        </w:rPr>
        <w:t>se la rete è dotata di un organo comune con potere di rappresentanza ma è priva di soggettività giuridica, ai sensi dell’articolo 3, comma 4-quater, del decreto legge 10 febbraio 2009, n. 5, la dichiarazione di partecipazione deve essere sottoscritta dall’impresa che riveste le funzioni di organo comune nonché da ognuno dei retisti che partecipa alla gara;</w:t>
      </w:r>
    </w:p>
    <w:p w14:paraId="287B387F" w14:textId="091B912D" w:rsidR="00140CCD" w:rsidRPr="006477F3" w:rsidRDefault="00140CCD" w:rsidP="0069424C">
      <w:pPr>
        <w:pStyle w:val="Paragrafoelenco"/>
        <w:numPr>
          <w:ilvl w:val="0"/>
          <w:numId w:val="24"/>
        </w:numPr>
        <w:jc w:val="both"/>
        <w:rPr>
          <w:rFonts w:asciiTheme="majorHAnsi" w:hAnsiTheme="majorHAnsi" w:cstheme="majorHAnsi"/>
        </w:rPr>
      </w:pPr>
      <w:r w:rsidRPr="006477F3">
        <w:rPr>
          <w:rFonts w:asciiTheme="majorHAnsi" w:hAnsiTheme="majorHAnsi" w:cstheme="majorHAnsi"/>
        </w:rPr>
        <w:t>se la rete è dotata di un organo comune privo del potere di rappresentanza o se la rete è sprovvista di organo comune, oppure se l’organo comune è privo dei requisiti di qualificazione richiesti per assumere la veste di mandataria, la dichiarazione di partecipazione deve essere sottoscritta dal retista che riveste la qualifica di mandatario, ovvero, in caso di partecipazione nelle forme del raggruppamento da costituirsi, da ognuno dei retisti che partecipa alla gara.</w:t>
      </w:r>
    </w:p>
    <w:p w14:paraId="1A332A05" w14:textId="46B8813F" w:rsidR="00140CCD" w:rsidRPr="006477F3" w:rsidRDefault="00140CCD" w:rsidP="0069424C">
      <w:pPr>
        <w:pStyle w:val="Paragrafoelenco"/>
        <w:numPr>
          <w:ilvl w:val="0"/>
          <w:numId w:val="23"/>
        </w:numPr>
        <w:jc w:val="both"/>
        <w:rPr>
          <w:rFonts w:asciiTheme="majorHAnsi" w:hAnsiTheme="majorHAnsi" w:cstheme="majorHAnsi"/>
        </w:rPr>
      </w:pPr>
      <w:r w:rsidRPr="006477F3">
        <w:rPr>
          <w:rFonts w:asciiTheme="majorHAnsi" w:hAnsiTheme="majorHAnsi" w:cstheme="majorHAnsi"/>
        </w:rPr>
        <w:t>nel caso di consorzio di cooperative e imprese artigiane o di consorzio stabile di cui all’articolo 65, comma 2 lettera b), c) e d) del Codice, la dichiarazione è sottoscritta digitalmente dal consorzio medesimo.</w:t>
      </w:r>
    </w:p>
    <w:p w14:paraId="0FE1119A" w14:textId="37DFD00B" w:rsidR="00140CCD" w:rsidRPr="006477F3" w:rsidRDefault="00140CCD" w:rsidP="00140CCD">
      <w:pPr>
        <w:jc w:val="both"/>
        <w:rPr>
          <w:rFonts w:asciiTheme="majorHAnsi" w:hAnsiTheme="majorHAnsi" w:cstheme="majorHAnsi"/>
        </w:rPr>
      </w:pPr>
      <w:r w:rsidRPr="006477F3">
        <w:rPr>
          <w:rFonts w:asciiTheme="majorHAnsi" w:hAnsiTheme="majorHAnsi" w:cstheme="majorHAnsi"/>
        </w:rPr>
        <w:lastRenderedPageBreak/>
        <w:t>Ove la domanda e le dichiarazioni siano firmate da un procuratore speciale è necessario rendere una dichiarazione che attesti tale qualità indicando gli estremi completi della procura che conferisce i necessari poteri.</w:t>
      </w:r>
    </w:p>
    <w:p w14:paraId="6F5CDF48" w14:textId="77777777" w:rsidR="00140CCD" w:rsidRPr="006477F3" w:rsidRDefault="00140CCD" w:rsidP="00140CCD">
      <w:pPr>
        <w:jc w:val="both"/>
        <w:rPr>
          <w:rFonts w:asciiTheme="majorHAnsi" w:hAnsiTheme="majorHAnsi" w:cstheme="majorHAnsi"/>
        </w:rPr>
      </w:pPr>
    </w:p>
    <w:p w14:paraId="3CDE4418" w14:textId="6BC0C7FD" w:rsidR="00140CCD" w:rsidRPr="006477F3" w:rsidRDefault="00140CCD" w:rsidP="00140CCD">
      <w:pPr>
        <w:jc w:val="both"/>
        <w:rPr>
          <w:rFonts w:asciiTheme="majorHAnsi" w:hAnsiTheme="majorHAnsi" w:cstheme="majorHAnsi"/>
        </w:rPr>
      </w:pPr>
      <w:r w:rsidRPr="006477F3">
        <w:rPr>
          <w:rFonts w:asciiTheme="majorHAnsi" w:hAnsiTheme="majorHAnsi" w:cstheme="majorHAnsi"/>
        </w:rPr>
        <w:t>La presentazione delle dichiarazioni di seguito riportate è da intendersi cumulativa e non alternativa al DGUE (Documento di Gara Unico Europeo), in quanto quest’ultimo documento non comprende tutte le dichiarazioni richieste dal</w:t>
      </w:r>
      <w:r w:rsidR="0047678A">
        <w:rPr>
          <w:rFonts w:asciiTheme="majorHAnsi" w:hAnsiTheme="majorHAnsi" w:cstheme="majorHAnsi"/>
        </w:rPr>
        <w:t>la presente lettera di invito</w:t>
      </w:r>
      <w:r w:rsidRPr="006477F3">
        <w:rPr>
          <w:rFonts w:asciiTheme="majorHAnsi" w:hAnsiTheme="majorHAnsi" w:cstheme="majorHAnsi"/>
        </w:rPr>
        <w:t>.</w:t>
      </w:r>
    </w:p>
    <w:p w14:paraId="35E71E77" w14:textId="77777777" w:rsidR="00140CCD" w:rsidRPr="006477F3" w:rsidRDefault="00140CCD" w:rsidP="00140CCD">
      <w:pPr>
        <w:jc w:val="both"/>
        <w:rPr>
          <w:rFonts w:asciiTheme="majorHAnsi" w:hAnsiTheme="majorHAnsi" w:cstheme="majorHAnsi"/>
        </w:rPr>
      </w:pPr>
      <w:r w:rsidRPr="006477F3">
        <w:rPr>
          <w:rFonts w:asciiTheme="majorHAnsi" w:hAnsiTheme="majorHAnsi" w:cstheme="majorHAnsi"/>
        </w:rPr>
        <w:t>Il concorrente dichiara:</w:t>
      </w:r>
    </w:p>
    <w:p w14:paraId="7E889B96" w14:textId="77777777" w:rsidR="00140CCD" w:rsidRPr="006477F3" w:rsidRDefault="00140CCD" w:rsidP="00140CCD">
      <w:pPr>
        <w:jc w:val="both"/>
        <w:rPr>
          <w:rFonts w:asciiTheme="majorHAnsi" w:hAnsiTheme="majorHAnsi" w:cstheme="majorHAnsi"/>
        </w:rPr>
      </w:pPr>
      <w:r w:rsidRPr="006477F3">
        <w:rPr>
          <w:rFonts w:asciiTheme="majorHAnsi" w:hAnsiTheme="majorHAnsi" w:cstheme="majorHAnsi"/>
        </w:rPr>
        <w:t xml:space="preserve"> </w:t>
      </w:r>
    </w:p>
    <w:p w14:paraId="59C5B9F5" w14:textId="03934AE9"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i dati identificativi (nome, cognome, data e luogo di nascita, codice fiscale, etc.) dei soggetti di cui all’articolo 94, comma 3 del Codice, ivi incluso l’amministratore di fatto, ove presente, ovvero indica la banca dati ufficiale o il pubblico registro da cui i medesimi possono essere ricavati in modo aggiornato alla data di presentazione dell’offerta;</w:t>
      </w:r>
    </w:p>
    <w:p w14:paraId="117BDE93" w14:textId="29B275DF"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di non partecipare alla medesima gara contemporaneamente in forme diverse (individuale e associata; in più forme associate; in forma singola e quale consorziato esecutore di un consorzio; in forma singola e come ausiliaria di altro concorrente che sia ricorso all’avvalimento premiante). Se l’operatore economico dichiara di partecipare in più di una forma, allega la documentazione che dimostra che la circostanza non ha influito sulla gara, né è idonea a incidere sulla capacità di rispettare gli obblighi contrattuali;</w:t>
      </w:r>
    </w:p>
    <w:p w14:paraId="58165676" w14:textId="1912D471"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di non partecipare a più di un consorzio stabile;</w:t>
      </w:r>
    </w:p>
    <w:p w14:paraId="6BFFDB62" w14:textId="29C3F715"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di non essere iscritto nel casellario informatico tenuto dall'ANAC per aver presentato false dichiarazioni o falsa documentazione nelle procedure di gara e negli affidamenti di subappalti; (Articolo 94, comma 5, lettera e);</w:t>
      </w:r>
    </w:p>
    <w:p w14:paraId="51903BBB" w14:textId="6C8056FB"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di non essere è iscritto nel casellario informatico tenuto dall'ANAC per aver presentato false dichiarazioni o falsa documentazione ai fini del rilascio dell'attestazione di qualificazione, per il periodo durante il quale perdura l'iscrizione (Articolo 94, comma 5, lettera f);</w:t>
      </w:r>
    </w:p>
    <w:p w14:paraId="25505BF6" w14:textId="54787FD4"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di accettare, senza condizione o riserva alcuna, tutte le norme e disposizioni contenute nella documentazione gara, ivi inclusi, se presenti, i documenti relativi ai rischi specifici esistenti nell’ambiente in cui sono destinati ad operare gli operatori dell’appaltatore e sulle misure di prevenzione e di emergenza adottate in relazione alla propria attività e ai rischi interferenti con relative misure da adottare per eliminare o ridurre i rischi stessi e la stima degli eventuali costi della sicurezza relativi ai rischi interferenti;</w:t>
      </w:r>
    </w:p>
    <w:p w14:paraId="16E4BCD8" w14:textId="5586DF86"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di ritenere remunerativa l’offerta economica presentata, avendo tenuto conto, per la relativa formulazione:</w:t>
      </w:r>
    </w:p>
    <w:p w14:paraId="602D6117" w14:textId="785EF477" w:rsidR="00140CCD" w:rsidRPr="006477F3" w:rsidRDefault="00140CCD" w:rsidP="0069424C">
      <w:pPr>
        <w:pStyle w:val="Paragrafoelenco"/>
        <w:numPr>
          <w:ilvl w:val="0"/>
          <w:numId w:val="26"/>
        </w:numPr>
        <w:jc w:val="both"/>
        <w:rPr>
          <w:rFonts w:asciiTheme="majorHAnsi" w:hAnsiTheme="majorHAnsi" w:cstheme="majorHAnsi"/>
        </w:rPr>
      </w:pPr>
      <w:r w:rsidRPr="006477F3">
        <w:rPr>
          <w:rFonts w:asciiTheme="majorHAnsi" w:hAnsiTheme="majorHAnsi" w:cstheme="majorHAnsi"/>
        </w:rPr>
        <w:t>delle condizioni contrattuali e degli oneri compresi quelli eventuali relativi in materia di sicurezza, di assicurazione, di condizioni di lavoro e di previdenza e assistenza derivanti dal CCNL applicato;</w:t>
      </w:r>
    </w:p>
    <w:p w14:paraId="47F29927" w14:textId="0A15F02F" w:rsidR="00140CCD" w:rsidRPr="006477F3" w:rsidRDefault="00140CCD" w:rsidP="0069424C">
      <w:pPr>
        <w:pStyle w:val="Paragrafoelenco"/>
        <w:numPr>
          <w:ilvl w:val="0"/>
          <w:numId w:val="26"/>
        </w:numPr>
        <w:jc w:val="both"/>
        <w:rPr>
          <w:rFonts w:asciiTheme="majorHAnsi" w:hAnsiTheme="majorHAnsi" w:cstheme="majorHAnsi"/>
        </w:rPr>
      </w:pPr>
      <w:r w:rsidRPr="006477F3">
        <w:rPr>
          <w:rFonts w:asciiTheme="majorHAnsi" w:hAnsiTheme="majorHAnsi" w:cstheme="majorHAnsi"/>
        </w:rPr>
        <w:t>di tutte le circostanze generali, particolari e locali, nessuna esclusa ed eccettuata, che possono avere influito o influire sia sulla prestazione dei servizi/fornitura, sia sulla determinazione della propria offerta;</w:t>
      </w:r>
    </w:p>
    <w:p w14:paraId="006D38CD" w14:textId="77777777" w:rsidR="00140CCD" w:rsidRPr="006477F3" w:rsidRDefault="00140CCD" w:rsidP="00140CCD">
      <w:pPr>
        <w:pStyle w:val="Paragrafoelenco"/>
        <w:ind w:left="1068"/>
        <w:jc w:val="both"/>
        <w:rPr>
          <w:rFonts w:asciiTheme="majorHAnsi" w:hAnsiTheme="majorHAnsi" w:cstheme="majorHAnsi"/>
        </w:rPr>
      </w:pPr>
    </w:p>
    <w:p w14:paraId="40EA594A" w14:textId="668A9F14"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con riferimento alle fattispecie di cui agli artt. 57 e 102 del Codice:</w:t>
      </w:r>
    </w:p>
    <w:p w14:paraId="797049D7" w14:textId="56FB9643" w:rsidR="00140CCD" w:rsidRPr="006477F3" w:rsidRDefault="00140CCD" w:rsidP="0069424C">
      <w:pPr>
        <w:pStyle w:val="Paragrafoelenco"/>
        <w:numPr>
          <w:ilvl w:val="0"/>
          <w:numId w:val="27"/>
        </w:numPr>
        <w:jc w:val="both"/>
        <w:rPr>
          <w:rFonts w:asciiTheme="majorHAnsi" w:hAnsiTheme="majorHAnsi" w:cstheme="majorHAnsi"/>
        </w:rPr>
      </w:pPr>
      <w:r w:rsidRPr="006477F3">
        <w:rPr>
          <w:rFonts w:asciiTheme="majorHAnsi" w:hAnsiTheme="majorHAnsi" w:cstheme="majorHAnsi"/>
        </w:rPr>
        <w:lastRenderedPageBreak/>
        <w:t>di applicare il CCNL indicato dalla stazione appaltante o altro CCNL equivalente, con l’indicazione del relativo codice alfanumerico unico di cui all’articolo 16 quater del decreto legge 76/2020;</w:t>
      </w:r>
    </w:p>
    <w:p w14:paraId="63CDB4C4" w14:textId="2981162D" w:rsidR="00140CCD" w:rsidRPr="006477F3" w:rsidRDefault="00140CCD" w:rsidP="0069424C">
      <w:pPr>
        <w:pStyle w:val="Paragrafoelenco"/>
        <w:numPr>
          <w:ilvl w:val="0"/>
          <w:numId w:val="27"/>
        </w:numPr>
        <w:jc w:val="both"/>
        <w:rPr>
          <w:rFonts w:asciiTheme="majorHAnsi" w:hAnsiTheme="majorHAnsi" w:cstheme="majorHAnsi"/>
        </w:rPr>
      </w:pPr>
      <w:r w:rsidRPr="006477F3">
        <w:rPr>
          <w:rFonts w:asciiTheme="majorHAnsi" w:hAnsiTheme="majorHAnsi" w:cstheme="majorHAnsi"/>
        </w:rPr>
        <w:t>di garantire, secondo quanto indicato al paragrafo 9, la stabilità occupazionale del personale impiegato;</w:t>
      </w:r>
    </w:p>
    <w:p w14:paraId="659CA030" w14:textId="7C11B12E" w:rsidR="00140CCD" w:rsidRPr="006477F3" w:rsidRDefault="00140CCD" w:rsidP="0069424C">
      <w:pPr>
        <w:pStyle w:val="Paragrafoelenco"/>
        <w:numPr>
          <w:ilvl w:val="0"/>
          <w:numId w:val="27"/>
        </w:numPr>
        <w:jc w:val="both"/>
        <w:rPr>
          <w:rFonts w:asciiTheme="majorHAnsi" w:hAnsiTheme="majorHAnsi" w:cstheme="majorHAnsi"/>
        </w:rPr>
      </w:pPr>
      <w:r w:rsidRPr="006477F3">
        <w:rPr>
          <w:rFonts w:asciiTheme="majorHAnsi" w:hAnsiTheme="majorHAnsi" w:cstheme="majorHAnsi"/>
        </w:rPr>
        <w:t>il numero di dipendenti impiegati alla data di presentazione dell’offerta;</w:t>
      </w:r>
    </w:p>
    <w:p w14:paraId="44BA3B3C" w14:textId="50276930" w:rsidR="00140CCD" w:rsidRPr="006477F3" w:rsidRDefault="00140CCD" w:rsidP="0069424C">
      <w:pPr>
        <w:pStyle w:val="Paragrafoelenco"/>
        <w:numPr>
          <w:ilvl w:val="0"/>
          <w:numId w:val="27"/>
        </w:numPr>
        <w:jc w:val="both"/>
        <w:rPr>
          <w:rFonts w:asciiTheme="majorHAnsi" w:hAnsiTheme="majorHAnsi" w:cstheme="majorHAnsi"/>
        </w:rPr>
      </w:pPr>
      <w:r w:rsidRPr="006477F3">
        <w:rPr>
          <w:rFonts w:asciiTheme="majorHAnsi" w:hAnsiTheme="majorHAnsi" w:cstheme="majorHAnsi"/>
        </w:rPr>
        <w:t>di aver assolto agli obblighi di cui alla legge n. 68/1999;</w:t>
      </w:r>
    </w:p>
    <w:p w14:paraId="377F58EB" w14:textId="439061B6" w:rsidR="00140CCD" w:rsidRPr="006477F3" w:rsidRDefault="00140CCD" w:rsidP="0069424C">
      <w:pPr>
        <w:pStyle w:val="Paragrafoelenco"/>
        <w:numPr>
          <w:ilvl w:val="0"/>
          <w:numId w:val="27"/>
        </w:numPr>
        <w:jc w:val="both"/>
        <w:rPr>
          <w:rFonts w:asciiTheme="majorHAnsi" w:hAnsiTheme="majorHAnsi" w:cstheme="majorHAnsi"/>
        </w:rPr>
      </w:pPr>
      <w:r w:rsidRPr="006477F3">
        <w:rPr>
          <w:rFonts w:asciiTheme="majorHAnsi" w:hAnsiTheme="majorHAnsi" w:cstheme="majorHAnsi"/>
        </w:rPr>
        <w:t>di non essere incorso nell’interdizione automatica per inadempimento dell’obbligo di consegnare alla stazione appaltante, entro sei mesi dalla conclusione del contratto, la relazione di genere di cui all’art. 1, co. 6, dell’Allegato II.3 al codice;</w:t>
      </w:r>
    </w:p>
    <w:p w14:paraId="2B830D55" w14:textId="76E13CC6" w:rsidR="00140CCD" w:rsidRPr="006477F3" w:rsidRDefault="00140CCD" w:rsidP="0069424C">
      <w:pPr>
        <w:pStyle w:val="Paragrafoelenco"/>
        <w:numPr>
          <w:ilvl w:val="0"/>
          <w:numId w:val="27"/>
        </w:numPr>
        <w:jc w:val="both"/>
        <w:rPr>
          <w:rFonts w:asciiTheme="majorHAnsi" w:hAnsiTheme="majorHAnsi" w:cstheme="majorHAnsi"/>
        </w:rPr>
      </w:pPr>
      <w:r w:rsidRPr="006477F3">
        <w:rPr>
          <w:rFonts w:asciiTheme="majorHAnsi" w:hAnsiTheme="majorHAnsi" w:cstheme="majorHAnsi"/>
        </w:rPr>
        <w:t>di assumersi l’obbligo, in caso di aggiudicazione del contratto, di assicurare le assunzioni necessarie per l'esecuzione del contratto o per la realizzazione di attività ad esso connesse o strumentali nel rispetto delle quote % indicate dalla stazione appaltante al paragrafo 9 relativamente sia all’occupazione giovanile sia a quella femminile;</w:t>
      </w:r>
    </w:p>
    <w:p w14:paraId="346CDC7C" w14:textId="77777777" w:rsidR="00140CCD" w:rsidRPr="006477F3" w:rsidRDefault="00140CCD" w:rsidP="00140CCD">
      <w:pPr>
        <w:ind w:left="360"/>
        <w:jc w:val="both"/>
        <w:rPr>
          <w:rFonts w:asciiTheme="majorHAnsi" w:hAnsiTheme="majorHAnsi" w:cstheme="majorHAnsi"/>
        </w:rPr>
      </w:pPr>
    </w:p>
    <w:p w14:paraId="5BEE6642" w14:textId="0A66ECB0"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di essere edotto degli obblighi derivanti dal Codice di comportamento adottato dalla stazione appaltante reperibile sul profilo di committente sezione “</w:t>
      </w:r>
      <w:r w:rsidR="000C52A6">
        <w:rPr>
          <w:rFonts w:asciiTheme="majorHAnsi" w:hAnsiTheme="majorHAnsi" w:cstheme="majorHAnsi"/>
        </w:rPr>
        <w:t>Società</w:t>
      </w:r>
      <w:r w:rsidRPr="006477F3">
        <w:rPr>
          <w:rFonts w:asciiTheme="majorHAnsi" w:hAnsiTheme="majorHAnsi" w:cstheme="majorHAnsi"/>
        </w:rPr>
        <w:t xml:space="preserve"> Trasparente” e di impegnarsi, in caso di aggiudicazione, ad osservare e a far osservare ai propri dipendenti e collaboratori, per quanto applicabile, il suddetto codice, pena la risoluzione del contratto;</w:t>
      </w:r>
    </w:p>
    <w:p w14:paraId="1D51D315" w14:textId="29935AD2"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di essere iscritto nell’elenco dei fornitori, prestatori di servizi non soggetti a tentativo di infiltrazione mafiosa white list) istituito presso la Prefettura della provincia di competenza oppure di aver presentato domanda di iscrizione nell’elenco dei fornitori, prestatori di servizi non soggetti a tentativo di infiltrazione mafiosa (white list) istituito presso la Prefettura della provincia di competenza;</w:t>
      </w:r>
    </w:p>
    <w:p w14:paraId="671B83D9" w14:textId="3AC79A7E"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b/>
          <w:bCs/>
        </w:rPr>
        <w:t>nel caso di operatori economici non residenti e privi di stabile organizzazione in Italia</w:t>
      </w:r>
      <w:r w:rsidRPr="006477F3">
        <w:rPr>
          <w:rFonts w:asciiTheme="majorHAnsi" w:hAnsiTheme="majorHAnsi" w:cstheme="majorHAnsi"/>
        </w:rPr>
        <w:t>) l’impegno ad uniformarsi, in caso di aggiudicazione, alla disciplina di cui agli articoli 17, comma 2, e 53, comma 3 del decreto del Presidente della Repubblica 633/72 e a comunicare alla stazione appaltante la nomina del proprio rappresentante fiscale, nelle forme di legge;</w:t>
      </w:r>
    </w:p>
    <w:p w14:paraId="259E1704" w14:textId="3D67DE49"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b/>
          <w:bCs/>
        </w:rPr>
        <w:t>nel caso di operatori economici non residenti e privi di stabile organizzazione in Italia</w:t>
      </w:r>
      <w:r w:rsidRPr="006477F3">
        <w:rPr>
          <w:rFonts w:asciiTheme="majorHAnsi" w:hAnsiTheme="majorHAnsi" w:cstheme="majorHAnsi"/>
        </w:rPr>
        <w:t>) il domicilio fiscale …, il codice fiscale …, la partita IVA …, l’indirizzo di posta elettronica certificata o strumento analogo negli altri Stati Membri, ai fini delle comunicazioni di cui all’articolo 90 del Codice;</w:t>
      </w:r>
    </w:p>
    <w:p w14:paraId="3CE5BF9B" w14:textId="14892868"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b/>
          <w:bCs/>
        </w:rPr>
        <w:t>in caso di operatori economici ammessi al concordato preventivo con continuità aziendale di cui all’articolo 372 del decreto legislativo 12 gennaio 2019, n. 14</w:t>
      </w:r>
      <w:r w:rsidRPr="006477F3">
        <w:rPr>
          <w:rFonts w:asciiTheme="majorHAnsi" w:hAnsiTheme="majorHAnsi" w:cstheme="majorHAnsi"/>
        </w:rPr>
        <w:t>) gli estremi del provvedimento di ammissione al concordato e del provvedimento di autorizzazione a partecipare alle gare, nonché – se pertinente - dichiarazione che le altre imprese aderenti al raggruppamento non sono assoggettate ad una procedura concorsuale, ai sensi dell’articolo 95, commi 4 e 5, del decreto legislativo n. 14/2019. NB: Il concorrente deve presentare altresì una relazione di un professionista in possesso dei requisiti di cui all'articolo 2, comma 1, lettera o) del decreto legislativo succitato che attesta la conformità al piano e la ragionevole capacità di adempimento del contratto;</w:t>
      </w:r>
    </w:p>
    <w:p w14:paraId="429CD231" w14:textId="266EEC96"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b/>
          <w:bCs/>
        </w:rPr>
        <w:t xml:space="preserve">In caso di Sottoposizione a sequestro o confisca ai sensi dell'articolo 240-bis del codice penale o degli articoli 20 e 24 del decreto legislativo 6 settembre 2011, n. 159, e affidamento a custode o amministratore giudiziario o finanziario. La </w:t>
      </w:r>
      <w:r w:rsidRPr="006477F3">
        <w:rPr>
          <w:rFonts w:asciiTheme="majorHAnsi" w:hAnsiTheme="majorHAnsi" w:cstheme="majorHAnsi"/>
          <w:b/>
          <w:bCs/>
        </w:rPr>
        <w:lastRenderedPageBreak/>
        <w:t>dichiarazione è resa per gli effetti dell’articolo 96, comma 13, del codice</w:t>
      </w:r>
      <w:r w:rsidRPr="006477F3">
        <w:rPr>
          <w:rFonts w:asciiTheme="majorHAnsi" w:hAnsiTheme="majorHAnsi" w:cstheme="majorHAnsi"/>
        </w:rPr>
        <w:t>) che è stato emesso il provvedimento …. (indicare il tipo di provvedimento… Sottoposizione a sequestro o confisca ai sensi dell'articolo 240-bis del codice penale o degli articoli 20 e 24 del decreto legislativo 6 settembre 2011, n. 159, e affidamento a custode o amministratore giudiziario o finanziario) in data … da parte di…;</w:t>
      </w:r>
    </w:p>
    <w:p w14:paraId="31AD029B" w14:textId="7F1D555E"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 xml:space="preserve">di autorizzare o meno, ai fini dell’accesso agli atti, la stazione appaltante a rilasciare copia di tutta la documentazione presentata nell’ipotesi di segreti tecnici/commerciali; la dichiarazione di diniego deve essere adeguatamente motivata e comprovata ai sensi dell’art. 35, comma 4, lett. a), del Codice 36/2023. NB: </w:t>
      </w:r>
      <w:r w:rsidRPr="006477F3">
        <w:rPr>
          <w:rFonts w:asciiTheme="majorHAnsi" w:hAnsiTheme="majorHAnsi" w:cstheme="majorHAnsi"/>
          <w:u w:val="single"/>
        </w:rPr>
        <w:t>Con riferimento alle dichiarazioni di mancata autorizzazione all’accesso alla propria offerta</w:t>
      </w:r>
      <w:r w:rsidRPr="006477F3">
        <w:rPr>
          <w:rFonts w:asciiTheme="majorHAnsi" w:hAnsiTheme="majorHAnsi" w:cstheme="majorHAnsi"/>
        </w:rPr>
        <w:t xml:space="preserve"> qualora vi siano reiterati rigetti di istanze di oscuramento ai sensi dell’art.36 co.4 e 6 del Codice </w:t>
      </w:r>
      <w:r w:rsidRPr="006477F3">
        <w:rPr>
          <w:rFonts w:asciiTheme="majorHAnsi" w:hAnsiTheme="majorHAnsi" w:cstheme="majorHAnsi"/>
          <w:u w:val="single"/>
        </w:rPr>
        <w:t>l’ANAC potrà irrogare una sanzione pecuniaria nella misura stabilita dall’articolo 222, comma 9, ridotta alla metà nel caso di pagamento entro trenta giorni dalla contestazione</w:t>
      </w:r>
      <w:r w:rsidRPr="006477F3">
        <w:rPr>
          <w:rFonts w:asciiTheme="majorHAnsi" w:hAnsiTheme="majorHAnsi" w:cstheme="majorHAnsi"/>
        </w:rPr>
        <w:t>.</w:t>
      </w:r>
    </w:p>
    <w:p w14:paraId="5549CAC6" w14:textId="09493BD8"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 xml:space="preserve">di autorizzare la Stazione Appaltante ad accedere ai dati e/o documenti tramite il FVOE </w:t>
      </w:r>
      <w:r w:rsidR="004B69F0" w:rsidRPr="006477F3">
        <w:rPr>
          <w:rFonts w:asciiTheme="majorHAnsi" w:hAnsiTheme="majorHAnsi" w:cstheme="majorHAnsi"/>
        </w:rPr>
        <w:t xml:space="preserve">2.0 </w:t>
      </w:r>
      <w:r w:rsidRPr="006477F3">
        <w:rPr>
          <w:rFonts w:asciiTheme="majorHAnsi" w:hAnsiTheme="majorHAnsi" w:cstheme="majorHAnsi"/>
        </w:rPr>
        <w:t>dell’art. 24 del d.lgs. 36/2023;</w:t>
      </w:r>
    </w:p>
    <w:p w14:paraId="4693D938" w14:textId="74DCF82C"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di essere informato, ai sensi e per gli effetti dell’articolo 13 del Regolamento UE 2016/679, che i dati personali raccolti saranno trattati, anche con strumenti informatici, esclusivamente nell’ambito</w:t>
      </w:r>
      <w:r w:rsidR="004B69F0" w:rsidRPr="006477F3">
        <w:rPr>
          <w:rFonts w:asciiTheme="majorHAnsi" w:hAnsiTheme="majorHAnsi" w:cstheme="majorHAnsi"/>
        </w:rPr>
        <w:t xml:space="preserve"> </w:t>
      </w:r>
      <w:r w:rsidRPr="006477F3">
        <w:rPr>
          <w:rFonts w:asciiTheme="majorHAnsi" w:hAnsiTheme="majorHAnsi" w:cstheme="majorHAnsi"/>
        </w:rPr>
        <w:t xml:space="preserve">della presente </w:t>
      </w:r>
      <w:r w:rsidR="004B69F0" w:rsidRPr="006477F3">
        <w:rPr>
          <w:rFonts w:asciiTheme="majorHAnsi" w:hAnsiTheme="majorHAnsi" w:cstheme="majorHAnsi"/>
        </w:rPr>
        <w:t>procedura</w:t>
      </w:r>
      <w:r w:rsidRPr="006477F3">
        <w:rPr>
          <w:rFonts w:asciiTheme="majorHAnsi" w:hAnsiTheme="majorHAnsi" w:cstheme="majorHAnsi"/>
        </w:rPr>
        <w:t>, nonché dell’esistenza dei diritti di cui agli articoli da 15 a 22 del Regolamento e di aver preso visione e di accettare il trattamento dei dati personali;</w:t>
      </w:r>
    </w:p>
    <w:p w14:paraId="31010A31" w14:textId="1C89C414"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che le copie di tutti i documenti allegati all’offerta telematica in formato elettronico sono state formate a norma dell’art. 22 co 3 del D.Lgs. 82/2005 (Copie informatiche di documenti analogici) e/o dell’art. 23-bis del D.Lgs. 82/2005 (Duplicati e copie informatiche di documenti informatici) e nel rispetto delle regole tecniche di cui all’art. 71 del medesimo D.Lgs. 82/2005;</w:t>
      </w:r>
    </w:p>
    <w:p w14:paraId="0FF0D345" w14:textId="1C0A1DE5"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(in caso di avvalimento) di ricorrere all’avvalimento al fine di dimostrare il possesso dei requisiti indicando i requisiti prestati ovvero (se avvalimento premiante) per migliorare l’offerta specificando i dati dell’operatore ausiliario;</w:t>
      </w:r>
    </w:p>
    <w:p w14:paraId="24E5ACE6" w14:textId="3585FC83"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il possesso - nel caso in cui la cauzione provvisoria venga prestata in misura ridotta - dei requisiti premianti previsti per la garanzia provvisoria, ai sensi del comma 8 dell’art.106 del Codice;</w:t>
      </w:r>
    </w:p>
    <w:p w14:paraId="1A26BB30" w14:textId="6200177A" w:rsidR="00140CCD" w:rsidRPr="006477F3" w:rsidRDefault="00140CCD" w:rsidP="0069424C">
      <w:pPr>
        <w:pStyle w:val="Paragrafoelenco"/>
        <w:numPr>
          <w:ilvl w:val="0"/>
          <w:numId w:val="25"/>
        </w:numPr>
        <w:jc w:val="both"/>
        <w:rPr>
          <w:rFonts w:asciiTheme="majorHAnsi" w:hAnsiTheme="majorHAnsi" w:cstheme="majorHAnsi"/>
        </w:rPr>
      </w:pPr>
      <w:r w:rsidRPr="006477F3">
        <w:rPr>
          <w:rFonts w:asciiTheme="majorHAnsi" w:hAnsiTheme="majorHAnsi" w:cstheme="majorHAnsi"/>
        </w:rPr>
        <w:t>gli estremi del conto corrente - se la garanzia è costituita in forma di cauzione mediante bonifico o con altri strumenti e canali di pagamento elettronici previsti dall'ordinamento vigente - su cui si richiede lo svincolo della cauzione.</w:t>
      </w:r>
    </w:p>
    <w:p w14:paraId="4450AAAB" w14:textId="77777777" w:rsidR="004B69F0" w:rsidRPr="006477F3" w:rsidRDefault="004B69F0" w:rsidP="004B69F0">
      <w:pPr>
        <w:pStyle w:val="Paragrafoelenco"/>
        <w:jc w:val="both"/>
        <w:rPr>
          <w:rFonts w:asciiTheme="majorHAnsi" w:hAnsiTheme="majorHAnsi" w:cstheme="majorHAnsi"/>
        </w:rPr>
      </w:pPr>
    </w:p>
    <w:p w14:paraId="5AE7ECCA" w14:textId="77777777" w:rsidR="00140CCD" w:rsidRPr="006477F3" w:rsidRDefault="00140CCD" w:rsidP="00140CCD">
      <w:pPr>
        <w:jc w:val="both"/>
        <w:rPr>
          <w:rFonts w:asciiTheme="majorHAnsi" w:hAnsiTheme="majorHAnsi" w:cstheme="majorHAnsi"/>
        </w:rPr>
      </w:pPr>
      <w:r w:rsidRPr="006477F3">
        <w:rPr>
          <w:rFonts w:asciiTheme="majorHAnsi" w:hAnsiTheme="majorHAnsi" w:cstheme="majorHAnsi"/>
        </w:rPr>
        <w:t>Qualora le suindicate dichiarazioni siano firmate da procuratore speciale è necessario produrre una dichiarazione ai sensi del DPR 445/2000, all’interno delle dichiarazioni stesse, in cui si attesti tale qualità, indicando gli estremi completi della procura che conferisce i necessari poteri.</w:t>
      </w:r>
    </w:p>
    <w:p w14:paraId="593B3758" w14:textId="0E73DEBF" w:rsidR="00140CCD" w:rsidRPr="006477F3" w:rsidRDefault="00140CCD" w:rsidP="00140CCD">
      <w:pPr>
        <w:jc w:val="both"/>
        <w:rPr>
          <w:rFonts w:asciiTheme="majorHAnsi" w:hAnsiTheme="majorHAnsi" w:cstheme="majorHAnsi"/>
        </w:rPr>
      </w:pPr>
      <w:r w:rsidRPr="006477F3">
        <w:rPr>
          <w:rFonts w:asciiTheme="majorHAnsi" w:hAnsiTheme="majorHAnsi" w:cstheme="majorHAnsi"/>
        </w:rPr>
        <w:t>In caso di società amministrate da più coamministratori con firma congiunta, le suindicate dichiarazioni vanno sottoscritte digitalmente da tutti i coamministratori a firma congiunta, fermo restando che uno solo di essi opera sulla Piattaforma.</w:t>
      </w:r>
    </w:p>
    <w:p w14:paraId="30608E91" w14:textId="77777777" w:rsidR="004B69F0" w:rsidRPr="006477F3" w:rsidRDefault="004B69F0" w:rsidP="00140CCD">
      <w:pPr>
        <w:jc w:val="both"/>
        <w:rPr>
          <w:rFonts w:asciiTheme="majorHAnsi" w:hAnsiTheme="majorHAnsi" w:cstheme="majorHAnsi"/>
        </w:rPr>
      </w:pPr>
    </w:p>
    <w:p w14:paraId="440F953B" w14:textId="77777777" w:rsidR="004B69F0" w:rsidRPr="006477F3" w:rsidRDefault="004B69F0" w:rsidP="004B69F0">
      <w:pPr>
        <w:jc w:val="both"/>
        <w:rPr>
          <w:rFonts w:asciiTheme="majorHAnsi" w:hAnsiTheme="majorHAnsi" w:cstheme="majorHAnsi"/>
        </w:rPr>
      </w:pPr>
      <w:r w:rsidRPr="006477F3">
        <w:rPr>
          <w:rFonts w:asciiTheme="majorHAnsi" w:hAnsiTheme="majorHAnsi" w:cstheme="majorHAnsi"/>
          <w:b/>
          <w:bCs/>
        </w:rPr>
        <w:t>Nell’ipotesi di partecipazione “plurisoggettiva/consorzi lett. b), c) e d) comma 2 dell’art.65 del Codice” si precisa quanto segue fermo restando quanto previsto dai successivi paragrafi</w:t>
      </w:r>
      <w:r w:rsidRPr="006477F3">
        <w:rPr>
          <w:rFonts w:asciiTheme="majorHAnsi" w:hAnsiTheme="majorHAnsi" w:cstheme="majorHAnsi"/>
        </w:rPr>
        <w:t>:</w:t>
      </w:r>
    </w:p>
    <w:p w14:paraId="24DCC6A9" w14:textId="77777777" w:rsidR="004B69F0" w:rsidRPr="006477F3" w:rsidRDefault="004B69F0" w:rsidP="004B69F0">
      <w:pPr>
        <w:jc w:val="both"/>
        <w:rPr>
          <w:rFonts w:asciiTheme="majorHAnsi" w:hAnsiTheme="majorHAnsi" w:cstheme="majorHAnsi"/>
        </w:rPr>
      </w:pPr>
      <w:r w:rsidRPr="006477F3">
        <w:rPr>
          <w:rFonts w:asciiTheme="majorHAnsi" w:hAnsiTheme="majorHAnsi" w:cstheme="majorHAnsi"/>
        </w:rPr>
        <w:lastRenderedPageBreak/>
        <w:t></w:t>
      </w:r>
      <w:r w:rsidRPr="006477F3">
        <w:rPr>
          <w:rFonts w:asciiTheme="majorHAnsi" w:hAnsiTheme="majorHAnsi" w:cstheme="majorHAnsi"/>
        </w:rPr>
        <w:tab/>
      </w:r>
      <w:r w:rsidRPr="006477F3">
        <w:rPr>
          <w:rFonts w:asciiTheme="majorHAnsi" w:hAnsiTheme="majorHAnsi" w:cstheme="majorHAnsi"/>
          <w:b/>
          <w:bCs/>
        </w:rPr>
        <w:t>in caso di RTI e consorzi ordinari da costituirsi</w:t>
      </w:r>
      <w:r w:rsidRPr="006477F3">
        <w:rPr>
          <w:rFonts w:asciiTheme="majorHAnsi" w:hAnsiTheme="majorHAnsi" w:cstheme="majorHAnsi"/>
        </w:rPr>
        <w:t>: le dichiarazioni sopra riportate e (se previsto) il piano di assorbimento devono essere sottoscritte digitalmente da ciascun operatore associato/consorziato;</w:t>
      </w:r>
    </w:p>
    <w:p w14:paraId="44BE0D26" w14:textId="77777777" w:rsidR="004B69F0" w:rsidRPr="006477F3" w:rsidRDefault="004B69F0" w:rsidP="004B69F0">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r>
      <w:r w:rsidRPr="006477F3">
        <w:rPr>
          <w:rFonts w:asciiTheme="majorHAnsi" w:hAnsiTheme="majorHAnsi" w:cstheme="majorHAnsi"/>
          <w:b/>
          <w:bCs/>
        </w:rPr>
        <w:t>in caso di RTI e Consorzi ordinari costituiti</w:t>
      </w:r>
      <w:r w:rsidRPr="006477F3">
        <w:rPr>
          <w:rFonts w:asciiTheme="majorHAnsi" w:hAnsiTheme="majorHAnsi" w:cstheme="majorHAnsi"/>
        </w:rPr>
        <w:t>: le dichiarazioni sopra riportate e (se previsto) il piano di assorbimento devono essere sottoscritte digitalmente dal mandatario/capofila nonché – in qualità di operatori economici – da ciascuna associata/ consorziata;</w:t>
      </w:r>
    </w:p>
    <w:p w14:paraId="4A0B36C8" w14:textId="77777777" w:rsidR="004B69F0" w:rsidRPr="006477F3" w:rsidRDefault="004B69F0" w:rsidP="004B69F0">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r>
      <w:r w:rsidRPr="006477F3">
        <w:rPr>
          <w:rFonts w:asciiTheme="majorHAnsi" w:hAnsiTheme="majorHAnsi" w:cstheme="majorHAnsi"/>
          <w:b/>
          <w:bCs/>
        </w:rPr>
        <w:t>in caso di Consorzio di cui alle lett. b), c) e d) dell’art.65 del Codice</w:t>
      </w:r>
      <w:r w:rsidRPr="006477F3">
        <w:rPr>
          <w:rFonts w:asciiTheme="majorHAnsi" w:hAnsiTheme="majorHAnsi" w:cstheme="majorHAnsi"/>
        </w:rPr>
        <w:t>:</w:t>
      </w:r>
    </w:p>
    <w:p w14:paraId="0993BDA8" w14:textId="777C39EB" w:rsidR="004B69F0" w:rsidRPr="006477F3" w:rsidRDefault="004B69F0" w:rsidP="0069424C">
      <w:pPr>
        <w:pStyle w:val="Paragrafoelenco"/>
        <w:numPr>
          <w:ilvl w:val="1"/>
          <w:numId w:val="28"/>
        </w:numPr>
        <w:jc w:val="both"/>
        <w:rPr>
          <w:rFonts w:asciiTheme="majorHAnsi" w:hAnsiTheme="majorHAnsi" w:cstheme="majorHAnsi"/>
        </w:rPr>
      </w:pPr>
      <w:r w:rsidRPr="006477F3">
        <w:rPr>
          <w:rFonts w:asciiTheme="majorHAnsi" w:hAnsiTheme="majorHAnsi" w:cstheme="majorHAnsi"/>
        </w:rPr>
        <w:t>il Consorzio deve sottoscrivere digitalmente le dichiarazioni sopra riportate e (se previsto) il piano di riassorbimento;</w:t>
      </w:r>
    </w:p>
    <w:p w14:paraId="03DF8551" w14:textId="1943BCAA" w:rsidR="004B69F0" w:rsidRPr="006477F3" w:rsidRDefault="004B69F0" w:rsidP="0069424C">
      <w:pPr>
        <w:pStyle w:val="Paragrafoelenco"/>
        <w:numPr>
          <w:ilvl w:val="1"/>
          <w:numId w:val="28"/>
        </w:numPr>
        <w:jc w:val="both"/>
        <w:rPr>
          <w:rFonts w:asciiTheme="majorHAnsi" w:hAnsiTheme="majorHAnsi" w:cstheme="majorHAnsi"/>
        </w:rPr>
      </w:pPr>
      <w:r w:rsidRPr="006477F3">
        <w:rPr>
          <w:rFonts w:asciiTheme="majorHAnsi" w:hAnsiTheme="majorHAnsi" w:cstheme="majorHAnsi"/>
        </w:rPr>
        <w:t>ciascuna consorziata - in qualità di operatore economico - per conto della quale il Consorzio dichiara di partecipare/esecutrice nonché, per i consorzi di cui all’art.65 co. 2 lett. b), c) e d), ciascuna consorziata non esecutrice ma che presta i requisiti deve sottoscrivere digitalmente le dichiarazioni sopra riportate tenuto conto, in particolare, delle fattispecie/indicazioni di seguito descritte</w:t>
      </w:r>
    </w:p>
    <w:p w14:paraId="310A1924" w14:textId="1F0E5611" w:rsidR="004B69F0" w:rsidRPr="006477F3" w:rsidRDefault="004B69F0" w:rsidP="0069424C">
      <w:pPr>
        <w:pStyle w:val="Paragrafoelenco"/>
        <w:numPr>
          <w:ilvl w:val="0"/>
          <w:numId w:val="29"/>
        </w:numPr>
        <w:ind w:left="1776"/>
        <w:jc w:val="both"/>
        <w:rPr>
          <w:rFonts w:asciiTheme="majorHAnsi" w:hAnsiTheme="majorHAnsi" w:cstheme="majorHAnsi"/>
        </w:rPr>
      </w:pPr>
      <w:r w:rsidRPr="006477F3">
        <w:rPr>
          <w:rFonts w:asciiTheme="majorHAnsi" w:hAnsiTheme="majorHAnsi" w:cstheme="majorHAnsi"/>
        </w:rPr>
        <w:t>dati identificativi dei soggetti ex art.94;</w:t>
      </w:r>
    </w:p>
    <w:p w14:paraId="6B735411" w14:textId="53001440" w:rsidR="004B69F0" w:rsidRPr="006477F3" w:rsidRDefault="004B69F0" w:rsidP="0069424C">
      <w:pPr>
        <w:pStyle w:val="Paragrafoelenco"/>
        <w:numPr>
          <w:ilvl w:val="0"/>
          <w:numId w:val="29"/>
        </w:numPr>
        <w:ind w:left="1776"/>
        <w:jc w:val="both"/>
        <w:rPr>
          <w:rFonts w:asciiTheme="majorHAnsi" w:hAnsiTheme="majorHAnsi" w:cstheme="majorHAnsi"/>
        </w:rPr>
      </w:pPr>
      <w:r w:rsidRPr="006477F3">
        <w:rPr>
          <w:rFonts w:asciiTheme="majorHAnsi" w:hAnsiTheme="majorHAnsi" w:cstheme="majorHAnsi"/>
        </w:rPr>
        <w:t>divieto di partecipazione plurima nell’ambito della procedura;</w:t>
      </w:r>
    </w:p>
    <w:p w14:paraId="426CEFC9" w14:textId="0E56B809" w:rsidR="004B69F0" w:rsidRPr="006477F3" w:rsidRDefault="004B69F0" w:rsidP="0069424C">
      <w:pPr>
        <w:pStyle w:val="Paragrafoelenco"/>
        <w:numPr>
          <w:ilvl w:val="0"/>
          <w:numId w:val="29"/>
        </w:numPr>
        <w:ind w:left="1776"/>
        <w:jc w:val="both"/>
        <w:rPr>
          <w:rFonts w:asciiTheme="majorHAnsi" w:hAnsiTheme="majorHAnsi" w:cstheme="majorHAnsi"/>
        </w:rPr>
      </w:pPr>
      <w:r w:rsidRPr="006477F3">
        <w:rPr>
          <w:rFonts w:asciiTheme="majorHAnsi" w:hAnsiTheme="majorHAnsi" w:cstheme="majorHAnsi"/>
        </w:rPr>
        <w:t>divieto di partecipazione a più di un consorzio stabile;</w:t>
      </w:r>
    </w:p>
    <w:p w14:paraId="6837C32A" w14:textId="6F555EFF" w:rsidR="004B69F0" w:rsidRPr="006477F3" w:rsidRDefault="004B69F0" w:rsidP="0069424C">
      <w:pPr>
        <w:pStyle w:val="Paragrafoelenco"/>
        <w:numPr>
          <w:ilvl w:val="0"/>
          <w:numId w:val="29"/>
        </w:numPr>
        <w:ind w:left="1776"/>
        <w:jc w:val="both"/>
        <w:rPr>
          <w:rFonts w:asciiTheme="majorHAnsi" w:hAnsiTheme="majorHAnsi" w:cstheme="majorHAnsi"/>
        </w:rPr>
      </w:pPr>
      <w:r w:rsidRPr="006477F3">
        <w:rPr>
          <w:rFonts w:asciiTheme="majorHAnsi" w:hAnsiTheme="majorHAnsi" w:cstheme="majorHAnsi"/>
        </w:rPr>
        <w:t>assenza iscrizione casellario ANAC ex art.94 co.5;</w:t>
      </w:r>
    </w:p>
    <w:p w14:paraId="3E471799" w14:textId="59569CD0" w:rsidR="004B69F0" w:rsidRPr="006477F3" w:rsidRDefault="004B69F0" w:rsidP="0069424C">
      <w:pPr>
        <w:pStyle w:val="Paragrafoelenco"/>
        <w:numPr>
          <w:ilvl w:val="0"/>
          <w:numId w:val="29"/>
        </w:numPr>
        <w:ind w:left="1776"/>
        <w:jc w:val="both"/>
        <w:rPr>
          <w:rFonts w:asciiTheme="majorHAnsi" w:hAnsiTheme="majorHAnsi" w:cstheme="majorHAnsi"/>
        </w:rPr>
      </w:pPr>
      <w:r w:rsidRPr="006477F3">
        <w:rPr>
          <w:rFonts w:asciiTheme="majorHAnsi" w:hAnsiTheme="majorHAnsi" w:cstheme="majorHAnsi"/>
        </w:rPr>
        <w:t>accettazione documentazione di gara;</w:t>
      </w:r>
    </w:p>
    <w:p w14:paraId="48610D4B" w14:textId="563A2899" w:rsidR="004B69F0" w:rsidRPr="006477F3" w:rsidRDefault="004B69F0" w:rsidP="0069424C">
      <w:pPr>
        <w:pStyle w:val="Paragrafoelenco"/>
        <w:numPr>
          <w:ilvl w:val="0"/>
          <w:numId w:val="29"/>
        </w:numPr>
        <w:ind w:left="1776"/>
        <w:jc w:val="both"/>
        <w:rPr>
          <w:rFonts w:asciiTheme="majorHAnsi" w:hAnsiTheme="majorHAnsi" w:cstheme="majorHAnsi"/>
        </w:rPr>
      </w:pPr>
      <w:r w:rsidRPr="006477F3">
        <w:rPr>
          <w:rFonts w:asciiTheme="majorHAnsi" w:hAnsiTheme="majorHAnsi" w:cstheme="majorHAnsi"/>
        </w:rPr>
        <w:t>autorizzazione accesso FVOE;</w:t>
      </w:r>
    </w:p>
    <w:p w14:paraId="4E47BF60" w14:textId="1400B7BA" w:rsidR="004B69F0" w:rsidRPr="006477F3" w:rsidRDefault="004B69F0" w:rsidP="0069424C">
      <w:pPr>
        <w:pStyle w:val="Paragrafoelenco"/>
        <w:numPr>
          <w:ilvl w:val="0"/>
          <w:numId w:val="29"/>
        </w:numPr>
        <w:ind w:left="1776"/>
        <w:jc w:val="both"/>
        <w:rPr>
          <w:rFonts w:asciiTheme="majorHAnsi" w:hAnsiTheme="majorHAnsi" w:cstheme="majorHAnsi"/>
        </w:rPr>
      </w:pPr>
      <w:r w:rsidRPr="006477F3">
        <w:rPr>
          <w:rFonts w:asciiTheme="majorHAnsi" w:hAnsiTheme="majorHAnsi" w:cstheme="majorHAnsi"/>
        </w:rPr>
        <w:t>iscrizione o domanda di iscrizione white list;</w:t>
      </w:r>
    </w:p>
    <w:p w14:paraId="3185AA81" w14:textId="00EE0EA1" w:rsidR="004B69F0" w:rsidRPr="006477F3" w:rsidRDefault="004B69F0" w:rsidP="0069424C">
      <w:pPr>
        <w:pStyle w:val="Paragrafoelenco"/>
        <w:numPr>
          <w:ilvl w:val="0"/>
          <w:numId w:val="29"/>
        </w:numPr>
        <w:ind w:left="1776"/>
        <w:jc w:val="both"/>
        <w:rPr>
          <w:rFonts w:asciiTheme="majorHAnsi" w:hAnsiTheme="majorHAnsi" w:cstheme="majorHAnsi"/>
        </w:rPr>
      </w:pPr>
      <w:r w:rsidRPr="006477F3">
        <w:rPr>
          <w:rFonts w:asciiTheme="majorHAnsi" w:hAnsiTheme="majorHAnsi" w:cstheme="majorHAnsi"/>
        </w:rPr>
        <w:t>codice di comportamento (se previsto);</w:t>
      </w:r>
    </w:p>
    <w:p w14:paraId="45526F73" w14:textId="2F885931" w:rsidR="004B69F0" w:rsidRPr="006477F3" w:rsidRDefault="004B69F0" w:rsidP="0069424C">
      <w:pPr>
        <w:pStyle w:val="Paragrafoelenco"/>
        <w:numPr>
          <w:ilvl w:val="0"/>
          <w:numId w:val="29"/>
        </w:numPr>
        <w:ind w:left="1776"/>
        <w:jc w:val="both"/>
        <w:rPr>
          <w:rFonts w:asciiTheme="majorHAnsi" w:hAnsiTheme="majorHAnsi" w:cstheme="majorHAnsi"/>
        </w:rPr>
      </w:pPr>
      <w:r w:rsidRPr="006477F3">
        <w:rPr>
          <w:rFonts w:asciiTheme="majorHAnsi" w:hAnsiTheme="majorHAnsi" w:cstheme="majorHAnsi"/>
        </w:rPr>
        <w:t>concordato preventivo con continuità aziendale così come previsto dal par. 15.2. completa della documentazione ivi indicata;</w:t>
      </w:r>
    </w:p>
    <w:p w14:paraId="068A591C" w14:textId="15712830" w:rsidR="004B69F0" w:rsidRPr="006477F3" w:rsidRDefault="004B69F0" w:rsidP="0069424C">
      <w:pPr>
        <w:pStyle w:val="Paragrafoelenco"/>
        <w:numPr>
          <w:ilvl w:val="0"/>
          <w:numId w:val="29"/>
        </w:numPr>
        <w:ind w:left="1776"/>
        <w:jc w:val="both"/>
        <w:rPr>
          <w:rFonts w:asciiTheme="majorHAnsi" w:hAnsiTheme="majorHAnsi" w:cstheme="majorHAnsi"/>
        </w:rPr>
      </w:pPr>
      <w:r w:rsidRPr="006477F3">
        <w:rPr>
          <w:rFonts w:asciiTheme="majorHAnsi" w:hAnsiTheme="majorHAnsi" w:cstheme="majorHAnsi"/>
        </w:rPr>
        <w:t>ipotesi di sequestro o confisca ai sensi dell'articolo 240-bis del codice penale o degli articoli 20 e 24 del decreto legislativo 6 settembre 2011, n. 159, e affidamento a custode o amministratore giudiziario o finanziario;</w:t>
      </w:r>
    </w:p>
    <w:p w14:paraId="048941D8" w14:textId="4B6F9421" w:rsidR="004B69F0" w:rsidRPr="006477F3" w:rsidRDefault="004B69F0" w:rsidP="0069424C">
      <w:pPr>
        <w:pStyle w:val="Paragrafoelenco"/>
        <w:numPr>
          <w:ilvl w:val="0"/>
          <w:numId w:val="29"/>
        </w:numPr>
        <w:ind w:left="1776"/>
        <w:jc w:val="both"/>
        <w:rPr>
          <w:rFonts w:asciiTheme="majorHAnsi" w:hAnsiTheme="majorHAnsi" w:cstheme="majorHAnsi"/>
        </w:rPr>
      </w:pPr>
      <w:r w:rsidRPr="006477F3">
        <w:rPr>
          <w:rFonts w:asciiTheme="majorHAnsi" w:hAnsiTheme="majorHAnsi" w:cstheme="majorHAnsi"/>
        </w:rPr>
        <w:t>ipotesi di operatori non residenti</w:t>
      </w:r>
    </w:p>
    <w:p w14:paraId="20AFB790" w14:textId="57FA3F06" w:rsidR="004B69F0" w:rsidRPr="006477F3" w:rsidRDefault="004B69F0" w:rsidP="0069424C">
      <w:pPr>
        <w:pStyle w:val="Paragrafoelenco"/>
        <w:numPr>
          <w:ilvl w:val="0"/>
          <w:numId w:val="29"/>
        </w:numPr>
        <w:ind w:left="1776"/>
        <w:jc w:val="both"/>
        <w:rPr>
          <w:rFonts w:asciiTheme="majorHAnsi" w:hAnsiTheme="majorHAnsi" w:cstheme="majorHAnsi"/>
        </w:rPr>
      </w:pPr>
      <w:r w:rsidRPr="006477F3">
        <w:rPr>
          <w:rFonts w:asciiTheme="majorHAnsi" w:hAnsiTheme="majorHAnsi" w:cstheme="majorHAnsi"/>
        </w:rPr>
        <w:t>trattamento dati;</w:t>
      </w:r>
    </w:p>
    <w:p w14:paraId="1021DCB7" w14:textId="6E091D5C" w:rsidR="004B69F0" w:rsidRPr="006477F3" w:rsidRDefault="004B69F0" w:rsidP="0069424C">
      <w:pPr>
        <w:pStyle w:val="Paragrafoelenco"/>
        <w:numPr>
          <w:ilvl w:val="0"/>
          <w:numId w:val="29"/>
        </w:numPr>
        <w:ind w:left="1776"/>
        <w:jc w:val="both"/>
        <w:rPr>
          <w:rFonts w:asciiTheme="majorHAnsi" w:hAnsiTheme="majorHAnsi" w:cstheme="majorHAnsi"/>
        </w:rPr>
      </w:pPr>
      <w:r w:rsidRPr="006477F3">
        <w:rPr>
          <w:rFonts w:asciiTheme="majorHAnsi" w:hAnsiTheme="majorHAnsi" w:cstheme="majorHAnsi"/>
        </w:rPr>
        <w:t>conformità copie;</w:t>
      </w:r>
    </w:p>
    <w:p w14:paraId="7E1D244E" w14:textId="55A6045B" w:rsidR="004B69F0" w:rsidRPr="006477F3" w:rsidRDefault="004B69F0" w:rsidP="0069424C">
      <w:pPr>
        <w:pStyle w:val="Paragrafoelenco"/>
        <w:numPr>
          <w:ilvl w:val="0"/>
          <w:numId w:val="29"/>
        </w:numPr>
        <w:ind w:left="1776"/>
        <w:jc w:val="both"/>
        <w:rPr>
          <w:rFonts w:asciiTheme="majorHAnsi" w:hAnsiTheme="majorHAnsi" w:cstheme="majorHAnsi"/>
        </w:rPr>
      </w:pPr>
      <w:r w:rsidRPr="006477F3">
        <w:rPr>
          <w:rFonts w:asciiTheme="majorHAnsi" w:hAnsiTheme="majorHAnsi" w:cstheme="majorHAnsi"/>
        </w:rPr>
        <w:t>(solo per le consorziate esecutrici) di applicare il CCNL indicato dalla stazione appaltante o altro CCNL equivalente, con l’indicazione del relativo codice alfanumerico unico di cui all’articolo 16 quater del decreto legge 76/2020.</w:t>
      </w:r>
    </w:p>
    <w:p w14:paraId="3F06BDA5" w14:textId="4E8F243F" w:rsidR="004B69F0" w:rsidRPr="006477F3" w:rsidRDefault="004B69F0" w:rsidP="0069424C">
      <w:pPr>
        <w:pStyle w:val="Paragrafoelenco"/>
        <w:numPr>
          <w:ilvl w:val="0"/>
          <w:numId w:val="30"/>
        </w:numPr>
        <w:jc w:val="both"/>
        <w:rPr>
          <w:rFonts w:asciiTheme="majorHAnsi" w:hAnsiTheme="majorHAnsi" w:cstheme="majorHAnsi"/>
        </w:rPr>
      </w:pPr>
      <w:r w:rsidRPr="006477F3">
        <w:rPr>
          <w:rFonts w:asciiTheme="majorHAnsi" w:hAnsiTheme="majorHAnsi" w:cstheme="majorHAnsi"/>
        </w:rPr>
        <w:t>il numero di dipendenti impiegati alla data di presentazione dell’offerta;</w:t>
      </w:r>
    </w:p>
    <w:p w14:paraId="00A63FC8" w14:textId="06D3AEB0" w:rsidR="004B69F0" w:rsidRPr="006477F3" w:rsidRDefault="004B69F0" w:rsidP="0069424C">
      <w:pPr>
        <w:pStyle w:val="Paragrafoelenco"/>
        <w:numPr>
          <w:ilvl w:val="0"/>
          <w:numId w:val="30"/>
        </w:numPr>
        <w:jc w:val="both"/>
        <w:rPr>
          <w:rFonts w:asciiTheme="majorHAnsi" w:hAnsiTheme="majorHAnsi" w:cstheme="majorHAnsi"/>
        </w:rPr>
      </w:pPr>
      <w:r w:rsidRPr="006477F3">
        <w:rPr>
          <w:rFonts w:asciiTheme="majorHAnsi" w:hAnsiTheme="majorHAnsi" w:cstheme="majorHAnsi"/>
        </w:rPr>
        <w:t>di aver assolto agli obblighi di cui alla legge n. 68/1999;</w:t>
      </w:r>
    </w:p>
    <w:p w14:paraId="04E99129" w14:textId="31923C50" w:rsidR="004B69F0" w:rsidRPr="006477F3" w:rsidRDefault="004B69F0" w:rsidP="0069424C">
      <w:pPr>
        <w:pStyle w:val="Paragrafoelenco"/>
        <w:numPr>
          <w:ilvl w:val="0"/>
          <w:numId w:val="30"/>
        </w:numPr>
        <w:jc w:val="both"/>
        <w:rPr>
          <w:rFonts w:asciiTheme="majorHAnsi" w:hAnsiTheme="majorHAnsi" w:cstheme="majorHAnsi"/>
        </w:rPr>
      </w:pPr>
      <w:r w:rsidRPr="006477F3">
        <w:rPr>
          <w:rFonts w:asciiTheme="majorHAnsi" w:hAnsiTheme="majorHAnsi" w:cstheme="majorHAnsi"/>
        </w:rPr>
        <w:t>di non essere incorso -negli ultimi dodici mesi- nell’interdizione automatica per inadempimento dell’obbligo di consegnare alla stazione appaltante, entro sei mesi dalla conclusione del contratto, la relazione di genere di cui all’art. 1, co. 6, dell’Allegato II.3 al codice;</w:t>
      </w:r>
    </w:p>
    <w:p w14:paraId="0F727989" w14:textId="77777777" w:rsidR="004B69F0" w:rsidRPr="006477F3" w:rsidRDefault="004B69F0" w:rsidP="004B69F0">
      <w:pPr>
        <w:jc w:val="both"/>
        <w:rPr>
          <w:rFonts w:asciiTheme="majorHAnsi" w:hAnsiTheme="majorHAnsi" w:cstheme="majorHAnsi"/>
        </w:rPr>
      </w:pPr>
    </w:p>
    <w:p w14:paraId="35AD3F1D" w14:textId="77777777" w:rsidR="004B69F0" w:rsidRPr="006477F3" w:rsidRDefault="004B69F0" w:rsidP="004B69F0">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r>
      <w:r w:rsidRPr="006477F3">
        <w:rPr>
          <w:rFonts w:asciiTheme="majorHAnsi" w:hAnsiTheme="majorHAnsi" w:cstheme="majorHAnsi"/>
          <w:b/>
          <w:bCs/>
        </w:rPr>
        <w:t>in caso di aggregazioni di imprese aderenti al contratto di rete</w:t>
      </w:r>
      <w:r w:rsidRPr="006477F3">
        <w:rPr>
          <w:rFonts w:asciiTheme="majorHAnsi" w:hAnsiTheme="majorHAnsi" w:cstheme="majorHAnsi"/>
        </w:rPr>
        <w:t>: le dichiarazioni sopra riportate e (se previsto) il piano di riassorbimento devono essere sottoscritte da ognuna delle imprese retiste, se l’intera rete partecipa, ovvero dall’organo comune e dalle singole imprese retiste indicate;</w:t>
      </w:r>
    </w:p>
    <w:p w14:paraId="4B3D4A71" w14:textId="525B1AE6" w:rsidR="004B69F0" w:rsidRPr="006477F3" w:rsidRDefault="004B69F0" w:rsidP="004B69F0">
      <w:pPr>
        <w:jc w:val="both"/>
        <w:rPr>
          <w:rFonts w:asciiTheme="majorHAnsi" w:hAnsiTheme="majorHAnsi" w:cstheme="majorHAnsi"/>
        </w:rPr>
      </w:pPr>
      <w:r w:rsidRPr="006477F3">
        <w:rPr>
          <w:rFonts w:asciiTheme="majorHAnsi" w:hAnsiTheme="majorHAnsi" w:cstheme="majorHAnsi"/>
        </w:rPr>
        <w:lastRenderedPageBreak/>
        <w:t></w:t>
      </w:r>
      <w:r w:rsidRPr="006477F3">
        <w:rPr>
          <w:rFonts w:asciiTheme="majorHAnsi" w:hAnsiTheme="majorHAnsi" w:cstheme="majorHAnsi"/>
        </w:rPr>
        <w:tab/>
      </w:r>
      <w:r w:rsidRPr="006477F3">
        <w:rPr>
          <w:rFonts w:asciiTheme="majorHAnsi" w:hAnsiTheme="majorHAnsi" w:cstheme="majorHAnsi"/>
          <w:b/>
          <w:bCs/>
        </w:rPr>
        <w:t>in caso di GEIE</w:t>
      </w:r>
      <w:r w:rsidRPr="006477F3">
        <w:rPr>
          <w:rFonts w:asciiTheme="majorHAnsi" w:hAnsiTheme="majorHAnsi" w:cstheme="majorHAnsi"/>
        </w:rPr>
        <w:t xml:space="preserve"> ai sensi dell’articolo 65 comma 2 lett. h) del Codice: trova applicazione la disciplina prevista per le ATI per quanto compatibile.</w:t>
      </w:r>
    </w:p>
    <w:p w14:paraId="0BA88FA4" w14:textId="77777777" w:rsidR="004B69F0" w:rsidRDefault="004B69F0" w:rsidP="004B69F0">
      <w:pPr>
        <w:jc w:val="both"/>
        <w:rPr>
          <w:rFonts w:asciiTheme="majorHAnsi" w:hAnsiTheme="majorHAnsi" w:cstheme="majorHAnsi"/>
          <w:b/>
          <w:bCs/>
        </w:rPr>
      </w:pPr>
    </w:p>
    <w:p w14:paraId="604DDADD" w14:textId="77777777" w:rsidR="00E9548C" w:rsidRPr="006477F3" w:rsidRDefault="00E9548C" w:rsidP="004B69F0">
      <w:pPr>
        <w:jc w:val="both"/>
        <w:rPr>
          <w:rFonts w:asciiTheme="majorHAnsi" w:hAnsiTheme="majorHAnsi" w:cstheme="majorHAnsi"/>
          <w:b/>
          <w:bCs/>
        </w:rPr>
      </w:pPr>
    </w:p>
    <w:p w14:paraId="41A52984" w14:textId="0C0B4F44" w:rsidR="00E9548C" w:rsidRPr="00E9548C" w:rsidRDefault="004B69F0" w:rsidP="004B69F0">
      <w:pPr>
        <w:jc w:val="both"/>
        <w:rPr>
          <w:rFonts w:asciiTheme="majorHAnsi" w:hAnsiTheme="majorHAnsi" w:cstheme="majorHAnsi"/>
        </w:rPr>
      </w:pPr>
      <w:r w:rsidRPr="00E9548C">
        <w:rPr>
          <w:rFonts w:asciiTheme="majorHAnsi" w:hAnsiTheme="majorHAnsi" w:cstheme="majorHAnsi"/>
        </w:rPr>
        <w:t>15.1.1</w:t>
      </w:r>
      <w:r w:rsidRPr="00E9548C">
        <w:rPr>
          <w:rFonts w:asciiTheme="majorHAnsi" w:hAnsiTheme="majorHAnsi" w:cstheme="majorHAnsi"/>
        </w:rPr>
        <w:tab/>
        <w:t xml:space="preserve">DOCUMENTO DI GARA UNICO EUROPEO </w:t>
      </w:r>
    </w:p>
    <w:p w14:paraId="4E4E0ABF" w14:textId="2D8F3E13" w:rsidR="004B69F0" w:rsidRPr="006477F3" w:rsidRDefault="004B69F0" w:rsidP="004B69F0">
      <w:pPr>
        <w:jc w:val="both"/>
        <w:rPr>
          <w:rFonts w:asciiTheme="majorHAnsi" w:hAnsiTheme="majorHAnsi" w:cstheme="majorHAnsi"/>
        </w:rPr>
      </w:pPr>
      <w:r w:rsidRPr="006477F3">
        <w:rPr>
          <w:rFonts w:asciiTheme="majorHAnsi" w:hAnsiTheme="majorHAnsi" w:cstheme="majorHAnsi"/>
        </w:rPr>
        <w:t xml:space="preserve">Per quanto riguarda il DGUE response </w:t>
      </w:r>
      <w:r w:rsidRPr="006477F3">
        <w:rPr>
          <w:rFonts w:asciiTheme="majorHAnsi" w:hAnsiTheme="majorHAnsi" w:cstheme="majorHAnsi"/>
          <w:b/>
          <w:bCs/>
        </w:rPr>
        <w:t>in formato xml</w:t>
      </w:r>
      <w:r w:rsidRPr="006477F3">
        <w:rPr>
          <w:rFonts w:asciiTheme="majorHAnsi" w:hAnsiTheme="majorHAnsi" w:cstheme="majorHAnsi"/>
        </w:rPr>
        <w:t xml:space="preserve">, si rinvia alle istruzioni pubblicate sul portale Aria, sezione Operatore economico – Guide per l’utilizzo – e-DGUE Creazione Response </w:t>
      </w:r>
    </w:p>
    <w:p w14:paraId="6A92EC09" w14:textId="77777777" w:rsidR="004B69F0" w:rsidRPr="006477F3" w:rsidRDefault="004B69F0" w:rsidP="004B69F0">
      <w:pPr>
        <w:jc w:val="both"/>
        <w:rPr>
          <w:rFonts w:asciiTheme="majorHAnsi" w:hAnsiTheme="majorHAnsi" w:cstheme="majorHAnsi"/>
        </w:rPr>
      </w:pPr>
      <w:hyperlink r:id="rId23" w:history="1">
        <w:r w:rsidRPr="006477F3">
          <w:rPr>
            <w:rStyle w:val="Collegamentoipertestuale"/>
            <w:rFonts w:asciiTheme="majorHAnsi" w:hAnsiTheme="majorHAnsi" w:cstheme="majorHAnsi"/>
          </w:rPr>
          <w:t>https://www.ariaspa.it/wps/wcm/connect/0ab83d12-c3f1-4cba-b88c-f4c844d6a498/eDGUE-Creazione+manuale+1.2+Response.pdf?MOD=AJPERES&amp;CACHEID=ROOTWORKSPACE-0ab83d12-c3f1-4cba-b88c-f4c844d6a498-pnYonXL</w:t>
        </w:r>
      </w:hyperlink>
      <w:r w:rsidRPr="006477F3">
        <w:rPr>
          <w:rFonts w:asciiTheme="majorHAnsi" w:hAnsiTheme="majorHAnsi" w:cstheme="majorHAnsi"/>
        </w:rPr>
        <w:t xml:space="preserve"> </w:t>
      </w:r>
    </w:p>
    <w:p w14:paraId="4BC6C8F8" w14:textId="6B4D3D29" w:rsidR="004B69F0" w:rsidRPr="006477F3" w:rsidRDefault="004B69F0" w:rsidP="004B69F0">
      <w:pPr>
        <w:jc w:val="both"/>
        <w:rPr>
          <w:rFonts w:asciiTheme="majorHAnsi" w:hAnsiTheme="majorHAnsi" w:cstheme="majorHAnsi"/>
        </w:rPr>
      </w:pPr>
    </w:p>
    <w:p w14:paraId="2D261644" w14:textId="080C7758" w:rsidR="00811D9F" w:rsidRPr="006477F3" w:rsidRDefault="00811D9F" w:rsidP="00F70785">
      <w:pPr>
        <w:jc w:val="both"/>
        <w:rPr>
          <w:rFonts w:asciiTheme="majorHAnsi" w:hAnsiTheme="majorHAnsi" w:cstheme="majorHAnsi"/>
        </w:rPr>
      </w:pPr>
      <w:r w:rsidRPr="006477F3">
        <w:rPr>
          <w:rFonts w:asciiTheme="majorHAnsi" w:hAnsiTheme="majorHAnsi" w:cstheme="majorHAnsi"/>
        </w:rPr>
        <w:t xml:space="preserve">La “Response xml” del DGUE deve essere sottoscritta, con una firma digitale che consenta di conservarne il </w:t>
      </w:r>
      <w:r w:rsidRPr="00E9548C">
        <w:rPr>
          <w:rFonts w:asciiTheme="majorHAnsi" w:hAnsiTheme="majorHAnsi" w:cstheme="majorHAnsi"/>
          <w:b/>
          <w:bCs/>
          <w:u w:val="single"/>
        </w:rPr>
        <w:t>formato XML</w:t>
      </w:r>
      <w:r w:rsidRPr="006477F3">
        <w:rPr>
          <w:rFonts w:asciiTheme="majorHAnsi" w:hAnsiTheme="majorHAnsi" w:cstheme="majorHAnsi"/>
        </w:rPr>
        <w:t>, ad es. con la firma CAdES (con estensione. p7m), dal legale rappresentante dell’impresa o da altro soggetto individuato al precedente paragrafo 15.1.</w:t>
      </w:r>
    </w:p>
    <w:p w14:paraId="59388D22" w14:textId="77777777" w:rsidR="00811D9F" w:rsidRPr="006477F3" w:rsidRDefault="00811D9F" w:rsidP="00F70785">
      <w:pPr>
        <w:jc w:val="both"/>
        <w:rPr>
          <w:rFonts w:asciiTheme="majorHAnsi" w:hAnsiTheme="majorHAnsi" w:cstheme="majorHAnsi"/>
        </w:rPr>
      </w:pPr>
    </w:p>
    <w:p w14:paraId="19A38C82" w14:textId="29310925" w:rsidR="00F70785" w:rsidRPr="006477F3" w:rsidRDefault="00F70785" w:rsidP="00F70785">
      <w:pPr>
        <w:jc w:val="both"/>
        <w:rPr>
          <w:rFonts w:asciiTheme="majorHAnsi" w:hAnsiTheme="majorHAnsi" w:cstheme="majorHAnsi"/>
        </w:rPr>
      </w:pPr>
      <w:r w:rsidRPr="006477F3">
        <w:rPr>
          <w:rFonts w:asciiTheme="majorHAnsi" w:hAnsiTheme="majorHAnsi" w:cstheme="majorHAnsi"/>
        </w:rPr>
        <w:t>Relativamente alla compilazione del modello “DGUE” si precisa, altresì, quanto segue:</w:t>
      </w:r>
    </w:p>
    <w:p w14:paraId="2BD49470" w14:textId="77777777" w:rsidR="00F70785" w:rsidRPr="006477F3" w:rsidRDefault="00F70785" w:rsidP="00F70785">
      <w:pPr>
        <w:jc w:val="both"/>
        <w:rPr>
          <w:rFonts w:asciiTheme="majorHAnsi" w:hAnsiTheme="majorHAnsi" w:cstheme="majorHAnsi"/>
          <w:b/>
          <w:bCs/>
        </w:rPr>
      </w:pPr>
      <w:r w:rsidRPr="006477F3">
        <w:rPr>
          <w:rFonts w:asciiTheme="majorHAnsi" w:hAnsiTheme="majorHAnsi" w:cstheme="majorHAnsi"/>
          <w:b/>
          <w:bCs/>
        </w:rPr>
        <w:t>Parte I – Informazioni sulla procedura di appalto e sull’amministrazione aggiudicatrice o ente aggiudicatore</w:t>
      </w:r>
    </w:p>
    <w:p w14:paraId="0FBC5537" w14:textId="3A24AB83" w:rsidR="00F70785" w:rsidRPr="006477F3" w:rsidRDefault="00F70785" w:rsidP="00F70785">
      <w:pPr>
        <w:jc w:val="both"/>
        <w:rPr>
          <w:rFonts w:asciiTheme="majorHAnsi" w:hAnsiTheme="majorHAnsi" w:cstheme="majorHAnsi"/>
        </w:rPr>
      </w:pPr>
      <w:r w:rsidRPr="006477F3">
        <w:rPr>
          <w:rFonts w:asciiTheme="majorHAnsi" w:hAnsiTheme="majorHAnsi" w:cstheme="majorHAnsi"/>
        </w:rPr>
        <w:t>Il concorrente rende tutte le informazioni richieste relative alla procedura di appalto.</w:t>
      </w:r>
    </w:p>
    <w:p w14:paraId="32CB1F87" w14:textId="56F1AFB1" w:rsidR="00F70785" w:rsidRPr="006477F3" w:rsidRDefault="00F70785" w:rsidP="00F70785">
      <w:pPr>
        <w:jc w:val="both"/>
        <w:rPr>
          <w:rFonts w:asciiTheme="majorHAnsi" w:hAnsiTheme="majorHAnsi" w:cstheme="majorHAnsi"/>
          <w:b/>
          <w:bCs/>
        </w:rPr>
      </w:pPr>
      <w:r w:rsidRPr="006477F3">
        <w:rPr>
          <w:rFonts w:asciiTheme="majorHAnsi" w:hAnsiTheme="majorHAnsi" w:cstheme="majorHAnsi"/>
          <w:b/>
          <w:bCs/>
        </w:rPr>
        <w:t>Parte II – Informazioni sull’operatore economico</w:t>
      </w:r>
    </w:p>
    <w:p w14:paraId="26887768" w14:textId="10EDF35E" w:rsidR="00F70785" w:rsidRPr="006477F3" w:rsidRDefault="00F70785" w:rsidP="00F70785">
      <w:pPr>
        <w:jc w:val="both"/>
        <w:rPr>
          <w:rFonts w:asciiTheme="majorHAnsi" w:hAnsiTheme="majorHAnsi" w:cstheme="majorHAnsi"/>
        </w:rPr>
      </w:pPr>
      <w:r w:rsidRPr="006477F3">
        <w:rPr>
          <w:rFonts w:asciiTheme="majorHAnsi" w:hAnsiTheme="majorHAnsi" w:cstheme="majorHAnsi"/>
        </w:rPr>
        <w:t>Il concorrente rende tutte le informazioni richieste mediante la compilazione delle parti pertinenti.</w:t>
      </w:r>
    </w:p>
    <w:p w14:paraId="5C59968A" w14:textId="60E2C6B0" w:rsidR="00F70785" w:rsidRPr="006477F3" w:rsidRDefault="00F70785" w:rsidP="0069424C">
      <w:pPr>
        <w:pStyle w:val="Paragrafoelenco"/>
        <w:numPr>
          <w:ilvl w:val="0"/>
          <w:numId w:val="29"/>
        </w:numPr>
        <w:jc w:val="both"/>
        <w:rPr>
          <w:rFonts w:asciiTheme="majorHAnsi" w:hAnsiTheme="majorHAnsi" w:cstheme="majorHAnsi"/>
          <w:b/>
          <w:bCs/>
        </w:rPr>
      </w:pPr>
      <w:r w:rsidRPr="006477F3">
        <w:rPr>
          <w:rFonts w:asciiTheme="majorHAnsi" w:hAnsiTheme="majorHAnsi" w:cstheme="majorHAnsi"/>
          <w:b/>
          <w:bCs/>
        </w:rPr>
        <w:t>In caso di ricorso all’avvalimento si richiede la compilazione dell’apposita sezione</w:t>
      </w:r>
    </w:p>
    <w:p w14:paraId="011D0C05" w14:textId="0A4BEE47" w:rsidR="00F70785" w:rsidRPr="006477F3" w:rsidRDefault="00F70785" w:rsidP="00F70785">
      <w:pPr>
        <w:pStyle w:val="Paragrafoelenco"/>
        <w:jc w:val="both"/>
        <w:rPr>
          <w:rFonts w:asciiTheme="majorHAnsi" w:hAnsiTheme="majorHAnsi" w:cstheme="majorHAnsi"/>
        </w:rPr>
      </w:pPr>
      <w:r w:rsidRPr="006477F3">
        <w:rPr>
          <w:rFonts w:asciiTheme="majorHAnsi" w:hAnsiTheme="majorHAnsi" w:cstheme="majorHAnsi"/>
        </w:rPr>
        <w:t>Il concorrente indica la denominazione dell’operatore economico ausiliario e i requisiti/risorse oggetto di avvalimento. Il concorrente, per ciascuna ausiliaria, allega la documentazione di cui al paragrafo 15.3.</w:t>
      </w:r>
    </w:p>
    <w:p w14:paraId="2FF618A2" w14:textId="36E1AA38" w:rsidR="00F70785" w:rsidRPr="006477F3" w:rsidRDefault="00F70785" w:rsidP="0069424C">
      <w:pPr>
        <w:pStyle w:val="Paragrafoelenco"/>
        <w:numPr>
          <w:ilvl w:val="0"/>
          <w:numId w:val="29"/>
        </w:numPr>
        <w:jc w:val="both"/>
        <w:rPr>
          <w:rFonts w:asciiTheme="majorHAnsi" w:hAnsiTheme="majorHAnsi" w:cstheme="majorHAnsi"/>
        </w:rPr>
      </w:pPr>
      <w:r w:rsidRPr="006477F3">
        <w:rPr>
          <w:rFonts w:asciiTheme="majorHAnsi" w:hAnsiTheme="majorHAnsi" w:cstheme="majorHAnsi"/>
          <w:b/>
          <w:bCs/>
        </w:rPr>
        <w:t>In caso di ricorso al subappalto “facoltativo” si richiede la compilazione della sezione D come di seguito specificato</w:t>
      </w:r>
      <w:r w:rsidRPr="006477F3">
        <w:rPr>
          <w:rFonts w:asciiTheme="majorHAnsi" w:hAnsiTheme="majorHAnsi" w:cstheme="majorHAnsi"/>
        </w:rPr>
        <w:t>: il concorrente, pena l’impossibilità di ricorrere al subappalto, indica l’elenco delle prestazioni che intende subappaltare con la relativa quota percentuale dell’importo complessivo del contratto.</w:t>
      </w:r>
    </w:p>
    <w:p w14:paraId="0F1BD4CC" w14:textId="77777777" w:rsidR="00F70785" w:rsidRPr="006477F3" w:rsidRDefault="00F70785" w:rsidP="00F70785">
      <w:pPr>
        <w:jc w:val="both"/>
        <w:rPr>
          <w:rFonts w:asciiTheme="majorHAnsi" w:hAnsiTheme="majorHAnsi" w:cstheme="majorHAnsi"/>
        </w:rPr>
      </w:pPr>
    </w:p>
    <w:p w14:paraId="39BF56B3" w14:textId="77777777" w:rsidR="00F70785" w:rsidRPr="006477F3" w:rsidRDefault="00F70785" w:rsidP="00F70785">
      <w:pPr>
        <w:jc w:val="both"/>
        <w:rPr>
          <w:rFonts w:asciiTheme="majorHAnsi" w:hAnsiTheme="majorHAnsi" w:cstheme="majorHAnsi"/>
        </w:rPr>
      </w:pPr>
    </w:p>
    <w:p w14:paraId="7C6DDA87" w14:textId="65DF06D9" w:rsidR="00F70785" w:rsidRPr="006477F3" w:rsidRDefault="00F70785" w:rsidP="00F70785">
      <w:pPr>
        <w:jc w:val="both"/>
        <w:rPr>
          <w:rFonts w:asciiTheme="majorHAnsi" w:hAnsiTheme="majorHAnsi" w:cstheme="majorHAnsi"/>
          <w:b/>
          <w:bCs/>
        </w:rPr>
      </w:pPr>
      <w:r w:rsidRPr="006477F3">
        <w:rPr>
          <w:rFonts w:asciiTheme="majorHAnsi" w:hAnsiTheme="majorHAnsi" w:cstheme="majorHAnsi"/>
          <w:b/>
          <w:bCs/>
        </w:rPr>
        <w:t>Parte III – Motivi di esclusione</w:t>
      </w:r>
    </w:p>
    <w:p w14:paraId="1D657484"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Il concorrente rende tutte le informazioni richieste mediante la compilazione delle parti pertinenti.</w:t>
      </w:r>
    </w:p>
    <w:p w14:paraId="51CDF5BB" w14:textId="5DC52F7E" w:rsidR="00F70785" w:rsidRPr="006477F3" w:rsidRDefault="00F70785" w:rsidP="00F70785">
      <w:pPr>
        <w:jc w:val="both"/>
        <w:rPr>
          <w:rFonts w:asciiTheme="majorHAnsi" w:hAnsiTheme="majorHAnsi" w:cstheme="majorHAnsi"/>
        </w:rPr>
      </w:pPr>
      <w:r w:rsidRPr="006477F3">
        <w:rPr>
          <w:rFonts w:asciiTheme="majorHAnsi" w:hAnsiTheme="majorHAnsi" w:cstheme="majorHAnsi"/>
        </w:rPr>
        <w:t>Il concorrente dichiara di non trovarsi nelle condizioni previste dal paragrafo 5, tenuto conto delle dichiarazioni già rese ai sensi del paragrafo 15.1.</w:t>
      </w:r>
    </w:p>
    <w:p w14:paraId="6558F97F"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Le dichiarazioni in ordine all’insussistenza delle cause automatiche di esclusione di cui all’articolo 94 commi 1 e 2 del codice sono rese dall’operatore economico in relazione a tutti i soggetti indicati al comma 3.</w:t>
      </w:r>
    </w:p>
    <w:p w14:paraId="3F0DB641"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Le dichiarazioni in ordine all’insussistenza delle cause non automatiche di esclusione di cui all’articolo 98, comma 3, lettere g) ed h) del codice sono rese dall’operatore economico in relazione ai soggetti di cui al punto precedente.</w:t>
      </w:r>
    </w:p>
    <w:p w14:paraId="0C15B262"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Le dichiarazioni in ordine all’insussistenza delle altre cause di esclusione sono rese in relazione all’operatore economico.</w:t>
      </w:r>
    </w:p>
    <w:p w14:paraId="37691A1E"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lastRenderedPageBreak/>
        <w:t>Con riferimento alle cause di esclusione di cui all’articolo 95, il concorrente dichiara:</w:t>
      </w:r>
    </w:p>
    <w:p w14:paraId="561BB36F" w14:textId="19CD2266" w:rsidR="00F70785" w:rsidRPr="006477F3" w:rsidRDefault="00F70785" w:rsidP="0069424C">
      <w:pPr>
        <w:pStyle w:val="Paragrafoelenco"/>
        <w:numPr>
          <w:ilvl w:val="0"/>
          <w:numId w:val="31"/>
        </w:numPr>
        <w:jc w:val="both"/>
        <w:rPr>
          <w:rFonts w:asciiTheme="majorHAnsi" w:hAnsiTheme="majorHAnsi" w:cstheme="majorHAnsi"/>
        </w:rPr>
      </w:pPr>
      <w:r w:rsidRPr="006477F3">
        <w:rPr>
          <w:rFonts w:asciiTheme="majorHAnsi" w:hAnsiTheme="majorHAnsi" w:cstheme="majorHAnsi"/>
        </w:rPr>
        <w:t>le gravi infrazioni di cui all’articolo 95, comma 1 lettera a) commesse nei tre anni antecedenti la data di pubblicazione del bando di gara;</w:t>
      </w:r>
    </w:p>
    <w:p w14:paraId="7FBF8E8C" w14:textId="1C861BCC" w:rsidR="00F70785" w:rsidRPr="006477F3" w:rsidRDefault="00F70785" w:rsidP="0069424C">
      <w:pPr>
        <w:pStyle w:val="Paragrafoelenco"/>
        <w:numPr>
          <w:ilvl w:val="0"/>
          <w:numId w:val="31"/>
        </w:numPr>
        <w:jc w:val="both"/>
        <w:rPr>
          <w:rFonts w:asciiTheme="majorHAnsi" w:hAnsiTheme="majorHAnsi" w:cstheme="majorHAnsi"/>
        </w:rPr>
      </w:pPr>
      <w:r w:rsidRPr="006477F3">
        <w:rPr>
          <w:rFonts w:asciiTheme="majorHAnsi" w:hAnsiTheme="majorHAnsi" w:cstheme="majorHAnsi"/>
        </w:rPr>
        <w:t>gli atti e i provvedimenti indicati all’articolo 98 comma 6 del codice emessi nei tre anni antecedenti la data di pubblicazione del bando di gara;</w:t>
      </w:r>
    </w:p>
    <w:p w14:paraId="2F2D6A62" w14:textId="7760B76F" w:rsidR="00F70785" w:rsidRPr="006477F3" w:rsidRDefault="00F70785" w:rsidP="0069424C">
      <w:pPr>
        <w:pStyle w:val="Paragrafoelenco"/>
        <w:numPr>
          <w:ilvl w:val="0"/>
          <w:numId w:val="31"/>
        </w:numPr>
        <w:jc w:val="both"/>
        <w:rPr>
          <w:rFonts w:asciiTheme="majorHAnsi" w:hAnsiTheme="majorHAnsi" w:cstheme="majorHAnsi"/>
        </w:rPr>
      </w:pPr>
      <w:r w:rsidRPr="006477F3">
        <w:rPr>
          <w:rFonts w:asciiTheme="majorHAnsi" w:hAnsiTheme="majorHAnsi" w:cstheme="majorHAnsi"/>
        </w:rPr>
        <w:t>tutti gli altri comportamenti di cui all’articolo 98, commessi nei tre anni antecedenti la data di pubblicazione del bando di gara, ivi inclusi gli inadempimenti di cui all’art. 3 c. 6 d.l. 7 giugno 2024 n. 73.</w:t>
      </w:r>
    </w:p>
    <w:p w14:paraId="7C56FA0E"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La dichiarazione di cui sopra deve essere resa anche nel caso di impugnazione in giudizio dei relativi provvedimenti.</w:t>
      </w:r>
    </w:p>
    <w:p w14:paraId="2FC3DDBA"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L’operatore economico dichiara la sussistenza delle cause di esclusione che si sono verificate prima della presentazione dell’offerta e indica le misure di self-cleaning adottate, oppure dimostra l’impossibilità di adottare tali misure prima della presentazione dell’offerta.</w:t>
      </w:r>
    </w:p>
    <w:p w14:paraId="081DFF1E"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 xml:space="preserve"> </w:t>
      </w:r>
    </w:p>
    <w:p w14:paraId="01D0CD83"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L’operatore economico adotta le misure di self cleaning che è stato impossibilitato ad adottare prima della presentazione dell’offerta e quelle relative a cause di esclusione che si sono verificate dopo tale momento.</w:t>
      </w:r>
    </w:p>
    <w:p w14:paraId="4268C320"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Se l’operatore economico omette di comunicare alla stazione appaltante la sussistenza dei fatti e dei provvedimenti che possono costituire una causa di esclusione ai sensi degli articoli 94 e 95 del codice e detti fatti o provvedimenti non risultino nel FVOE, il triennio inizia a decorrere dalla data in cui la stazione appaltante ha acquisito gli stessi, anziché dalla commissione del fatto o dall’adozione del provvedimento.</w:t>
      </w:r>
    </w:p>
    <w:p w14:paraId="481286BB"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La struttura del DGUE response della Piattaforma Sintel può sintetizzarsi come segue:</w:t>
      </w:r>
    </w:p>
    <w:p w14:paraId="09C79831"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Motivi legati alle condanne penali: art. 94, co. 1, lett. a), b), d), e), f), g) d.lgs. 36/2023;</w:t>
      </w:r>
    </w:p>
    <w:p w14:paraId="492644A0" w14:textId="77777777" w:rsidR="00F70785" w:rsidRPr="006477F3" w:rsidRDefault="00F70785" w:rsidP="00811D9F">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Motivi legati al pagamento di imposte e tasse e contributi previdenziali: art. 94, co. 6 e art. 95, co. 2, d.lgs. 36/2023;</w:t>
      </w:r>
    </w:p>
    <w:p w14:paraId="5C238A23" w14:textId="77777777" w:rsidR="00F70785" w:rsidRPr="006477F3" w:rsidRDefault="00F70785" w:rsidP="00E9548C">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Motivi legati al diritto ambientale sociale e del lavoro: art. 95, co. 1, lett. a) d.lgs. 36/2023;</w:t>
      </w:r>
    </w:p>
    <w:p w14:paraId="5A773CA7"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Motivi legati all’attività economica: art. 94, co. 5, lett. d) d.lgs. 36/2023;</w:t>
      </w:r>
    </w:p>
    <w:p w14:paraId="6951F14D" w14:textId="6DF44C26" w:rsidR="00F70785" w:rsidRPr="006477F3" w:rsidRDefault="00F70785" w:rsidP="00811D9F">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Motivi legati alla condotta cattiva: art. 95, co. 1, lett. d), e) e art. 98, co. 3, lett. a), d), e), f), g),</w:t>
      </w:r>
      <w:r w:rsidR="00811D9F" w:rsidRPr="006477F3">
        <w:rPr>
          <w:rFonts w:asciiTheme="majorHAnsi" w:hAnsiTheme="majorHAnsi" w:cstheme="majorHAnsi"/>
        </w:rPr>
        <w:t xml:space="preserve"> </w:t>
      </w:r>
      <w:r w:rsidRPr="006477F3">
        <w:rPr>
          <w:rFonts w:asciiTheme="majorHAnsi" w:hAnsiTheme="majorHAnsi" w:cstheme="majorHAnsi"/>
        </w:rPr>
        <w:t>h) d.lgs. 36/2023;</w:t>
      </w:r>
    </w:p>
    <w:p w14:paraId="07A3160E"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Motivi legati al conflitto di interesse: art. 95, co. 1, lett. b), c) d.lgs. 36/2023;</w:t>
      </w:r>
    </w:p>
    <w:p w14:paraId="1691CCF6"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Motivi legati alla risoluzione anticipata: art. 98, co. 3, lett. c) d.lgs. 36/2023;</w:t>
      </w:r>
    </w:p>
    <w:p w14:paraId="7270C3D8" w14:textId="77777777" w:rsidR="00F70785" w:rsidRPr="006477F3" w:rsidRDefault="00F70785" w:rsidP="00E9548C">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Motivi legati a false dichiarazioni: art. 94, co. 5, lett. e) f), art. 98, co. 3, lett. b) d.lgs. 36/2023;</w:t>
      </w:r>
    </w:p>
    <w:p w14:paraId="6B16246F" w14:textId="77777777" w:rsidR="00F70785" w:rsidRPr="006477F3" w:rsidRDefault="00F70785" w:rsidP="00811D9F">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Motivi legati esclusivamente dalla legislazione nazionale: art. 94, co. 1, lett. c), h), art. 94, co. 2, art. 94, co. 5, lett. a), b), art. 53 comma 16-ter d.lgs. 165/2001.</w:t>
      </w:r>
    </w:p>
    <w:p w14:paraId="4B80B6FA" w14:textId="77777777" w:rsidR="00F70785" w:rsidRPr="006477F3" w:rsidRDefault="00F70785" w:rsidP="00F70785">
      <w:pPr>
        <w:jc w:val="both"/>
        <w:rPr>
          <w:rFonts w:asciiTheme="majorHAnsi" w:hAnsiTheme="majorHAnsi" w:cstheme="majorHAnsi"/>
        </w:rPr>
      </w:pPr>
    </w:p>
    <w:p w14:paraId="609C5B42"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Il concorrente rende tutte le informazioni richieste mediante la compilazione delle parti pertinenti.</w:t>
      </w:r>
    </w:p>
    <w:p w14:paraId="6965E504" w14:textId="77777777" w:rsidR="00F70785" w:rsidRPr="006477F3" w:rsidRDefault="00F70785" w:rsidP="00F70785">
      <w:pPr>
        <w:jc w:val="both"/>
        <w:rPr>
          <w:rFonts w:asciiTheme="majorHAnsi" w:hAnsiTheme="majorHAnsi" w:cstheme="majorHAnsi"/>
        </w:rPr>
      </w:pPr>
    </w:p>
    <w:p w14:paraId="050FB5D4"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Il DGUE deve essere presentato con sottoscrizione digitale ai sensi del D.Lgs.n.82/2005:</w:t>
      </w:r>
    </w:p>
    <w:p w14:paraId="46BF44A8"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dal singolo operatore economico;</w:t>
      </w:r>
    </w:p>
    <w:p w14:paraId="19685884" w14:textId="1965F264" w:rsidR="00F70785" w:rsidRPr="006477F3" w:rsidRDefault="00F70785" w:rsidP="00E9548C">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nel caso di raggruppamenti temporanei, consorzi ordinari, GEIE, da tutti gli operatori economici che partecipano alla procedura in forma congiunta;</w:t>
      </w:r>
    </w:p>
    <w:p w14:paraId="53187946" w14:textId="77777777" w:rsidR="00F70785" w:rsidRPr="006477F3" w:rsidRDefault="00F70785" w:rsidP="00811D9F">
      <w:pPr>
        <w:ind w:left="705" w:hanging="705"/>
        <w:jc w:val="both"/>
        <w:rPr>
          <w:rFonts w:asciiTheme="majorHAnsi" w:hAnsiTheme="majorHAnsi" w:cstheme="majorHAnsi"/>
        </w:rPr>
      </w:pPr>
      <w:r w:rsidRPr="006477F3">
        <w:rPr>
          <w:rFonts w:asciiTheme="majorHAnsi" w:hAnsiTheme="majorHAnsi" w:cstheme="majorHAnsi"/>
        </w:rPr>
        <w:lastRenderedPageBreak/>
        <w:t>-</w:t>
      </w:r>
      <w:r w:rsidRPr="006477F3">
        <w:rPr>
          <w:rFonts w:asciiTheme="majorHAnsi" w:hAnsiTheme="majorHAnsi" w:cstheme="majorHAnsi"/>
        </w:rPr>
        <w:tab/>
        <w:t>nel caso di aggregazioni di imprese di rete da ognuna delle imprese retiste, se l’intera rete partecipa, ovvero dall’organo comune e dalle singole imprese retiste indicate;</w:t>
      </w:r>
    </w:p>
    <w:p w14:paraId="6CF14A8B" w14:textId="77777777" w:rsidR="00F70785" w:rsidRPr="006477F3" w:rsidRDefault="00F70785" w:rsidP="00811D9F">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nel caso di consorzi cooperativi, di consorzi artigiani e di consorzi stabili, dal consorzio e dai consorziati per conto dei quali il consorzio concorre/esecutori nonché, per i consorzi di cui all’art.65 co. 2 lett.b), c) e d), anche da ciascuna consorziata non esecutrice ma che presta i requisiti.</w:t>
      </w:r>
    </w:p>
    <w:p w14:paraId="7FC5A7B6" w14:textId="77777777" w:rsidR="00F70785" w:rsidRPr="006477F3" w:rsidRDefault="00F70785" w:rsidP="00F70785">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nell’ipotesi di avvalimento anche dall’ausiliario.</w:t>
      </w:r>
    </w:p>
    <w:p w14:paraId="2E718075" w14:textId="77777777" w:rsidR="00F70785" w:rsidRPr="006477F3" w:rsidRDefault="00F70785" w:rsidP="004B69F0">
      <w:pPr>
        <w:jc w:val="both"/>
        <w:rPr>
          <w:rFonts w:asciiTheme="majorHAnsi" w:hAnsiTheme="majorHAnsi" w:cstheme="majorHAnsi"/>
        </w:rPr>
      </w:pPr>
    </w:p>
    <w:p w14:paraId="0F60D52F" w14:textId="77777777" w:rsidR="005F4B0B" w:rsidRPr="006477F3" w:rsidRDefault="005F4B0B" w:rsidP="004B69F0">
      <w:pPr>
        <w:jc w:val="both"/>
        <w:rPr>
          <w:rFonts w:asciiTheme="majorHAnsi" w:hAnsiTheme="majorHAnsi" w:cstheme="majorHAnsi"/>
          <w:b/>
          <w:bCs/>
        </w:rPr>
      </w:pPr>
    </w:p>
    <w:p w14:paraId="0A8E311A"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15.2</w:t>
      </w:r>
      <w:r w:rsidRPr="006477F3">
        <w:rPr>
          <w:rFonts w:asciiTheme="majorHAnsi" w:hAnsiTheme="majorHAnsi" w:cstheme="majorHAnsi"/>
        </w:rPr>
        <w:tab/>
        <w:t>DICHIARAZIONI DA RENDERE A CURA DEGLI OPERATORI ECONOMICI AMMESSI AL CONCORDATO PREVENTIVO CON CONTINUITÀ AZIENDALE DI CUI ALL’ARTICOLO 372 DEL DECRETO LEGISLATIVO 12 GENNAIO 2019 n. 14</w:t>
      </w:r>
    </w:p>
    <w:p w14:paraId="0BFE5AD6" w14:textId="41C8CA78" w:rsidR="005F4B0B" w:rsidRPr="006477F3" w:rsidRDefault="005F4B0B" w:rsidP="005F4B0B">
      <w:pPr>
        <w:jc w:val="both"/>
        <w:rPr>
          <w:rFonts w:asciiTheme="majorHAnsi" w:hAnsiTheme="majorHAnsi" w:cstheme="majorHAnsi"/>
        </w:rPr>
      </w:pPr>
      <w:r w:rsidRPr="006477F3">
        <w:rPr>
          <w:rFonts w:asciiTheme="majorHAnsi" w:hAnsiTheme="majorHAnsi" w:cstheme="majorHAnsi"/>
        </w:rPr>
        <w:t>Il concorrente, dichiara ai sensi degli articoli 46 e 47 del decreto del Presidente della Repubblica n. 445/2000 gli estremi del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w:t>
      </w:r>
    </w:p>
    <w:p w14:paraId="37EF738C"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Il concorrente presenta una relazione di un professionista in possesso dei requisiti di cui all'articolo 2, comma 1, lettera o) del decreto legislativo succitato che attesta la conformità al piano e la ragionevole capacità di adempimento del contratto.</w:t>
      </w:r>
    </w:p>
    <w:p w14:paraId="78309759"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La disciplina sopra descritta trova applicazione anche nell’ipotesi di:</w:t>
      </w:r>
    </w:p>
    <w:p w14:paraId="7B2B3B32"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RTI / Consorzi ordinari / GEIE;</w:t>
      </w:r>
    </w:p>
    <w:p w14:paraId="448AF5C2"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aggregazioni di imprese di rete;</w:t>
      </w:r>
    </w:p>
    <w:p w14:paraId="2202F26A" w14:textId="77777777" w:rsidR="005F4B0B" w:rsidRPr="006477F3" w:rsidRDefault="005F4B0B" w:rsidP="00E9548C">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consorzi cooperativi / consorzi artigiani / consorzi stabili (ivi comprese le consorziate esecutrici);</w:t>
      </w:r>
    </w:p>
    <w:p w14:paraId="661A854D"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avvalimento (impresa ausiliaria).</w:t>
      </w:r>
    </w:p>
    <w:p w14:paraId="2278CF0A" w14:textId="77777777" w:rsidR="005F4B0B" w:rsidRPr="006477F3" w:rsidRDefault="005F4B0B" w:rsidP="005F4B0B">
      <w:pPr>
        <w:jc w:val="both"/>
        <w:rPr>
          <w:rFonts w:asciiTheme="majorHAnsi" w:hAnsiTheme="majorHAnsi" w:cstheme="majorHAnsi"/>
        </w:rPr>
      </w:pPr>
    </w:p>
    <w:p w14:paraId="0FAB73F9"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15.3</w:t>
      </w:r>
      <w:r w:rsidRPr="006477F3">
        <w:rPr>
          <w:rFonts w:asciiTheme="majorHAnsi" w:hAnsiTheme="majorHAnsi" w:cstheme="majorHAnsi"/>
        </w:rPr>
        <w:tab/>
        <w:t>DOCUMENTAZIONE IN CASO DI AVVALIMENTO</w:t>
      </w:r>
    </w:p>
    <w:p w14:paraId="3F8CD9EB"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Il concorrente, per ciascuna ausiliaria, allega:</w:t>
      </w:r>
    </w:p>
    <w:p w14:paraId="1990EAA2"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1)</w:t>
      </w:r>
      <w:r w:rsidRPr="006477F3">
        <w:rPr>
          <w:rFonts w:asciiTheme="majorHAnsi" w:hAnsiTheme="majorHAnsi" w:cstheme="majorHAnsi"/>
        </w:rPr>
        <w:tab/>
        <w:t>dichiarazioni integrative di cui al paragrafo 15.1 sottoscritte digitalmente dall’ausiliaria – utilizzando preferibilmente il modello predisposto dalla Stazione Appaltante – tenuto conto in particolare delle seguenti fattispecie/indicazioni:</w:t>
      </w:r>
    </w:p>
    <w:p w14:paraId="67860FA8" w14:textId="4EDF1573" w:rsidR="005F4B0B" w:rsidRPr="006477F3" w:rsidRDefault="005F4B0B" w:rsidP="0069424C">
      <w:pPr>
        <w:pStyle w:val="Paragrafoelenco"/>
        <w:numPr>
          <w:ilvl w:val="0"/>
          <w:numId w:val="29"/>
        </w:numPr>
        <w:jc w:val="both"/>
        <w:rPr>
          <w:rFonts w:asciiTheme="majorHAnsi" w:hAnsiTheme="majorHAnsi" w:cstheme="majorHAnsi"/>
        </w:rPr>
      </w:pPr>
      <w:r w:rsidRPr="006477F3">
        <w:rPr>
          <w:rFonts w:asciiTheme="majorHAnsi" w:hAnsiTheme="majorHAnsi" w:cstheme="majorHAnsi"/>
        </w:rPr>
        <w:t>dati identificativi dei soggetti ex art.94;</w:t>
      </w:r>
    </w:p>
    <w:p w14:paraId="1D1392D3" w14:textId="188ABCD4" w:rsidR="005F4B0B" w:rsidRPr="006477F3" w:rsidRDefault="005F4B0B" w:rsidP="0069424C">
      <w:pPr>
        <w:pStyle w:val="Paragrafoelenco"/>
        <w:numPr>
          <w:ilvl w:val="0"/>
          <w:numId w:val="29"/>
        </w:numPr>
        <w:jc w:val="both"/>
        <w:rPr>
          <w:rFonts w:asciiTheme="majorHAnsi" w:hAnsiTheme="majorHAnsi" w:cstheme="majorHAnsi"/>
        </w:rPr>
      </w:pPr>
      <w:r w:rsidRPr="006477F3">
        <w:rPr>
          <w:rFonts w:asciiTheme="majorHAnsi" w:hAnsiTheme="majorHAnsi" w:cstheme="majorHAnsi"/>
        </w:rPr>
        <w:t>divieto di partecipazione plurima nell’ambito della procedura;</w:t>
      </w:r>
    </w:p>
    <w:p w14:paraId="12F4669F" w14:textId="715F33F2" w:rsidR="005F4B0B" w:rsidRPr="006477F3" w:rsidRDefault="005F4B0B" w:rsidP="0069424C">
      <w:pPr>
        <w:pStyle w:val="Paragrafoelenco"/>
        <w:numPr>
          <w:ilvl w:val="0"/>
          <w:numId w:val="29"/>
        </w:numPr>
        <w:jc w:val="both"/>
        <w:rPr>
          <w:rFonts w:asciiTheme="majorHAnsi" w:hAnsiTheme="majorHAnsi" w:cstheme="majorHAnsi"/>
        </w:rPr>
      </w:pPr>
      <w:r w:rsidRPr="006477F3">
        <w:rPr>
          <w:rFonts w:asciiTheme="majorHAnsi" w:hAnsiTheme="majorHAnsi" w:cstheme="majorHAnsi"/>
        </w:rPr>
        <w:t>assenza iscrizione casellario ANAC ex art.94 co.5;</w:t>
      </w:r>
    </w:p>
    <w:p w14:paraId="45119D8E" w14:textId="6632DDED" w:rsidR="005F4B0B" w:rsidRPr="006477F3" w:rsidRDefault="005F4B0B" w:rsidP="0069424C">
      <w:pPr>
        <w:pStyle w:val="Paragrafoelenco"/>
        <w:numPr>
          <w:ilvl w:val="0"/>
          <w:numId w:val="29"/>
        </w:numPr>
        <w:jc w:val="both"/>
        <w:rPr>
          <w:rFonts w:asciiTheme="majorHAnsi" w:hAnsiTheme="majorHAnsi" w:cstheme="majorHAnsi"/>
        </w:rPr>
      </w:pPr>
      <w:r w:rsidRPr="006477F3">
        <w:rPr>
          <w:rFonts w:asciiTheme="majorHAnsi" w:hAnsiTheme="majorHAnsi" w:cstheme="majorHAnsi"/>
        </w:rPr>
        <w:t>accettazione documentazione di gara;</w:t>
      </w:r>
    </w:p>
    <w:p w14:paraId="4FD6287A" w14:textId="7D79ADF0" w:rsidR="005F4B0B" w:rsidRPr="006477F3" w:rsidRDefault="005F4B0B" w:rsidP="0069424C">
      <w:pPr>
        <w:pStyle w:val="Paragrafoelenco"/>
        <w:numPr>
          <w:ilvl w:val="0"/>
          <w:numId w:val="29"/>
        </w:numPr>
        <w:jc w:val="both"/>
        <w:rPr>
          <w:rFonts w:asciiTheme="majorHAnsi" w:hAnsiTheme="majorHAnsi" w:cstheme="majorHAnsi"/>
        </w:rPr>
      </w:pPr>
      <w:r w:rsidRPr="006477F3">
        <w:rPr>
          <w:rFonts w:asciiTheme="majorHAnsi" w:hAnsiTheme="majorHAnsi" w:cstheme="majorHAnsi"/>
        </w:rPr>
        <w:t>autorizzazione accesso FVOE;</w:t>
      </w:r>
    </w:p>
    <w:p w14:paraId="65DBACA1" w14:textId="0967108A" w:rsidR="005F4B0B" w:rsidRPr="006477F3" w:rsidRDefault="005F4B0B" w:rsidP="0069424C">
      <w:pPr>
        <w:pStyle w:val="Paragrafoelenco"/>
        <w:numPr>
          <w:ilvl w:val="0"/>
          <w:numId w:val="29"/>
        </w:numPr>
        <w:jc w:val="both"/>
        <w:rPr>
          <w:rFonts w:asciiTheme="majorHAnsi" w:hAnsiTheme="majorHAnsi" w:cstheme="majorHAnsi"/>
        </w:rPr>
      </w:pPr>
      <w:r w:rsidRPr="006477F3">
        <w:rPr>
          <w:rFonts w:asciiTheme="majorHAnsi" w:hAnsiTheme="majorHAnsi" w:cstheme="majorHAnsi"/>
        </w:rPr>
        <w:t>iscrizione o domanda di iscrizione white list (se l’avvalimento è attinente ai settori di cui all’art 1, comma 53 della Legge n.190/12);</w:t>
      </w:r>
    </w:p>
    <w:p w14:paraId="377A944D" w14:textId="4D5A43B2" w:rsidR="005F4B0B" w:rsidRPr="006477F3" w:rsidRDefault="005F4B0B" w:rsidP="0069424C">
      <w:pPr>
        <w:pStyle w:val="Paragrafoelenco"/>
        <w:numPr>
          <w:ilvl w:val="0"/>
          <w:numId w:val="29"/>
        </w:numPr>
        <w:jc w:val="both"/>
        <w:rPr>
          <w:rFonts w:asciiTheme="majorHAnsi" w:hAnsiTheme="majorHAnsi" w:cstheme="majorHAnsi"/>
        </w:rPr>
      </w:pPr>
      <w:r w:rsidRPr="006477F3">
        <w:rPr>
          <w:rFonts w:asciiTheme="majorHAnsi" w:hAnsiTheme="majorHAnsi" w:cstheme="majorHAnsi"/>
        </w:rPr>
        <w:t>patto d’integrità (se previsto)</w:t>
      </w:r>
    </w:p>
    <w:p w14:paraId="74981274" w14:textId="6128AF5F" w:rsidR="005F4B0B" w:rsidRPr="006477F3" w:rsidRDefault="005F4B0B" w:rsidP="0069424C">
      <w:pPr>
        <w:pStyle w:val="Paragrafoelenco"/>
        <w:numPr>
          <w:ilvl w:val="0"/>
          <w:numId w:val="29"/>
        </w:numPr>
        <w:jc w:val="both"/>
        <w:rPr>
          <w:rFonts w:asciiTheme="majorHAnsi" w:hAnsiTheme="majorHAnsi" w:cstheme="majorHAnsi"/>
        </w:rPr>
      </w:pPr>
      <w:r w:rsidRPr="006477F3">
        <w:rPr>
          <w:rFonts w:asciiTheme="majorHAnsi" w:hAnsiTheme="majorHAnsi" w:cstheme="majorHAnsi"/>
        </w:rPr>
        <w:t>concordato preventivo con continuità aziendale così come previsto dal par. 15.2. completa della documentazione ivi indicata;</w:t>
      </w:r>
    </w:p>
    <w:p w14:paraId="0908ED19" w14:textId="1FDB73C5" w:rsidR="005F4B0B" w:rsidRPr="006477F3" w:rsidRDefault="005F4B0B" w:rsidP="0069424C">
      <w:pPr>
        <w:pStyle w:val="Paragrafoelenco"/>
        <w:numPr>
          <w:ilvl w:val="0"/>
          <w:numId w:val="29"/>
        </w:numPr>
        <w:jc w:val="both"/>
        <w:rPr>
          <w:rFonts w:asciiTheme="majorHAnsi" w:hAnsiTheme="majorHAnsi" w:cstheme="majorHAnsi"/>
        </w:rPr>
      </w:pPr>
      <w:r w:rsidRPr="006477F3">
        <w:rPr>
          <w:rFonts w:asciiTheme="majorHAnsi" w:hAnsiTheme="majorHAnsi" w:cstheme="majorHAnsi"/>
        </w:rPr>
        <w:t>ipotesi di sequestro o confisca ai sensi dell'articolo 240-bis del codice penale o degli articoli 20 e 24 del decreto legislativo 6 settembre 2011, n. 159, e affidamento a custode o amministratore giudiziario o finanziario;</w:t>
      </w:r>
    </w:p>
    <w:p w14:paraId="367C7C6C" w14:textId="7B6D3975" w:rsidR="005F4B0B" w:rsidRPr="006477F3" w:rsidRDefault="005F4B0B" w:rsidP="0069424C">
      <w:pPr>
        <w:pStyle w:val="Paragrafoelenco"/>
        <w:numPr>
          <w:ilvl w:val="0"/>
          <w:numId w:val="29"/>
        </w:numPr>
        <w:jc w:val="both"/>
        <w:rPr>
          <w:rFonts w:asciiTheme="majorHAnsi" w:hAnsiTheme="majorHAnsi" w:cstheme="majorHAnsi"/>
        </w:rPr>
      </w:pPr>
      <w:r w:rsidRPr="006477F3">
        <w:rPr>
          <w:rFonts w:asciiTheme="majorHAnsi" w:hAnsiTheme="majorHAnsi" w:cstheme="majorHAnsi"/>
        </w:rPr>
        <w:t>ipotesi di operatori non residenti</w:t>
      </w:r>
    </w:p>
    <w:p w14:paraId="77C8253C" w14:textId="0E61412B" w:rsidR="005F4B0B" w:rsidRPr="006477F3" w:rsidRDefault="005F4B0B" w:rsidP="0069424C">
      <w:pPr>
        <w:pStyle w:val="Paragrafoelenco"/>
        <w:numPr>
          <w:ilvl w:val="0"/>
          <w:numId w:val="29"/>
        </w:numPr>
        <w:jc w:val="both"/>
        <w:rPr>
          <w:rFonts w:asciiTheme="majorHAnsi" w:hAnsiTheme="majorHAnsi" w:cstheme="majorHAnsi"/>
        </w:rPr>
      </w:pPr>
      <w:r w:rsidRPr="006477F3">
        <w:rPr>
          <w:rFonts w:asciiTheme="majorHAnsi" w:hAnsiTheme="majorHAnsi" w:cstheme="majorHAnsi"/>
        </w:rPr>
        <w:lastRenderedPageBreak/>
        <w:t>trattamento dati;</w:t>
      </w:r>
    </w:p>
    <w:p w14:paraId="5449646F" w14:textId="7F908614" w:rsidR="005F4B0B" w:rsidRPr="006477F3" w:rsidRDefault="005F4B0B" w:rsidP="0069424C">
      <w:pPr>
        <w:pStyle w:val="Paragrafoelenco"/>
        <w:numPr>
          <w:ilvl w:val="0"/>
          <w:numId w:val="29"/>
        </w:numPr>
        <w:jc w:val="both"/>
        <w:rPr>
          <w:rFonts w:asciiTheme="majorHAnsi" w:hAnsiTheme="majorHAnsi" w:cstheme="majorHAnsi"/>
        </w:rPr>
      </w:pPr>
      <w:r w:rsidRPr="006477F3">
        <w:rPr>
          <w:rFonts w:asciiTheme="majorHAnsi" w:hAnsiTheme="majorHAnsi" w:cstheme="majorHAnsi"/>
        </w:rPr>
        <w:t>conformità copie;</w:t>
      </w:r>
    </w:p>
    <w:p w14:paraId="1E9ED70F" w14:textId="0DCB8554" w:rsidR="005F4B0B" w:rsidRPr="006477F3" w:rsidRDefault="005F4B0B" w:rsidP="0069424C">
      <w:pPr>
        <w:pStyle w:val="Paragrafoelenco"/>
        <w:numPr>
          <w:ilvl w:val="0"/>
          <w:numId w:val="29"/>
        </w:num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i/>
          <w:iCs/>
        </w:rPr>
        <w:t>solo se l’ausiliaria esegue direttamente la prestazione per la quale è richiesto il requisito oggetto di avvalimento ex art. 100 co 3 del Codice</w:t>
      </w:r>
      <w:r w:rsidRPr="006477F3">
        <w:rPr>
          <w:rFonts w:asciiTheme="majorHAnsi" w:hAnsiTheme="majorHAnsi" w:cstheme="majorHAnsi"/>
        </w:rPr>
        <w:t>): di applicare il CCNL indicato dalla</w:t>
      </w:r>
    </w:p>
    <w:p w14:paraId="4EAD2108" w14:textId="77777777" w:rsidR="005F4B0B" w:rsidRPr="006477F3" w:rsidRDefault="005F4B0B" w:rsidP="0069424C">
      <w:pPr>
        <w:pStyle w:val="Paragrafoelenco"/>
        <w:numPr>
          <w:ilvl w:val="0"/>
          <w:numId w:val="20"/>
        </w:numPr>
        <w:jc w:val="both"/>
        <w:rPr>
          <w:rFonts w:asciiTheme="majorHAnsi" w:hAnsiTheme="majorHAnsi" w:cstheme="majorHAnsi"/>
        </w:rPr>
      </w:pPr>
      <w:r w:rsidRPr="006477F3">
        <w:rPr>
          <w:rFonts w:asciiTheme="majorHAnsi" w:hAnsiTheme="majorHAnsi" w:cstheme="majorHAnsi"/>
        </w:rPr>
        <w:t>stazione appaltante o altro CCNL equivalente, con l’indicazione del relativo codice alfanumerico unico di cui all’articolo 16 quater del decreto legge 76/2020.</w:t>
      </w:r>
    </w:p>
    <w:p w14:paraId="62D90DCA" w14:textId="654FFC01" w:rsidR="005F4B0B" w:rsidRPr="006477F3" w:rsidRDefault="005F4B0B" w:rsidP="0069424C">
      <w:pPr>
        <w:pStyle w:val="Paragrafoelenco"/>
        <w:numPr>
          <w:ilvl w:val="0"/>
          <w:numId w:val="31"/>
        </w:numPr>
        <w:jc w:val="both"/>
        <w:rPr>
          <w:rFonts w:asciiTheme="majorHAnsi" w:hAnsiTheme="majorHAnsi" w:cstheme="majorHAnsi"/>
        </w:rPr>
      </w:pPr>
      <w:r w:rsidRPr="006477F3">
        <w:rPr>
          <w:rFonts w:asciiTheme="majorHAnsi" w:hAnsiTheme="majorHAnsi" w:cstheme="majorHAnsi"/>
        </w:rPr>
        <w:t>il numero di dipendenti impiegati alla data di presentazione dell’offerta;</w:t>
      </w:r>
    </w:p>
    <w:p w14:paraId="3BF2EF13" w14:textId="1400E362" w:rsidR="005F4B0B" w:rsidRPr="006477F3" w:rsidRDefault="005F4B0B" w:rsidP="0069424C">
      <w:pPr>
        <w:pStyle w:val="Paragrafoelenco"/>
        <w:numPr>
          <w:ilvl w:val="0"/>
          <w:numId w:val="31"/>
        </w:numPr>
        <w:jc w:val="both"/>
        <w:rPr>
          <w:rFonts w:asciiTheme="majorHAnsi" w:hAnsiTheme="majorHAnsi" w:cstheme="majorHAnsi"/>
        </w:rPr>
      </w:pPr>
      <w:r w:rsidRPr="006477F3">
        <w:rPr>
          <w:rFonts w:asciiTheme="majorHAnsi" w:hAnsiTheme="majorHAnsi" w:cstheme="majorHAnsi"/>
        </w:rPr>
        <w:t>di aver assolto agli obblighi di cui alla legge n. 68/1999;</w:t>
      </w:r>
    </w:p>
    <w:p w14:paraId="71CA8CEF" w14:textId="4AA3C59A" w:rsidR="005F4B0B" w:rsidRPr="006477F3" w:rsidRDefault="005F4B0B" w:rsidP="0069424C">
      <w:pPr>
        <w:pStyle w:val="Paragrafoelenco"/>
        <w:numPr>
          <w:ilvl w:val="0"/>
          <w:numId w:val="31"/>
        </w:numPr>
        <w:jc w:val="both"/>
        <w:rPr>
          <w:rFonts w:asciiTheme="majorHAnsi" w:hAnsiTheme="majorHAnsi" w:cstheme="majorHAnsi"/>
        </w:rPr>
      </w:pPr>
      <w:r w:rsidRPr="006477F3">
        <w:rPr>
          <w:rFonts w:asciiTheme="majorHAnsi" w:hAnsiTheme="majorHAnsi" w:cstheme="majorHAnsi"/>
        </w:rPr>
        <w:t>di non essere incorso -negli ultimi dodici mesi- nell’interdizione automatica per inadempimento dell’obbligo di consegnare alla stazione appaltante, entro sei mesi dalla conclusione del contratto, la relazione di genere di cui all’art. 1, co. 6, dell’Allegato II.3 al codice;</w:t>
      </w:r>
    </w:p>
    <w:p w14:paraId="028D8F49" w14:textId="77777777" w:rsidR="005F4B0B" w:rsidRPr="006477F3" w:rsidRDefault="005F4B0B" w:rsidP="005F4B0B">
      <w:pPr>
        <w:jc w:val="both"/>
        <w:rPr>
          <w:rFonts w:asciiTheme="majorHAnsi" w:hAnsiTheme="majorHAnsi" w:cstheme="majorHAnsi"/>
        </w:rPr>
      </w:pPr>
    </w:p>
    <w:p w14:paraId="0BBE8AB6"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2)</w:t>
      </w:r>
      <w:r w:rsidRPr="006477F3">
        <w:rPr>
          <w:rFonts w:asciiTheme="majorHAnsi" w:hAnsiTheme="majorHAnsi" w:cstheme="majorHAnsi"/>
        </w:rPr>
        <w:tab/>
        <w:t>dichiarazioni di cui al paragrafo 15.1.1 “DGUE”</w:t>
      </w:r>
    </w:p>
    <w:p w14:paraId="27DC1B86"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3)</w:t>
      </w:r>
      <w:r w:rsidRPr="006477F3">
        <w:rPr>
          <w:rFonts w:asciiTheme="majorHAnsi" w:hAnsiTheme="majorHAnsi" w:cstheme="majorHAnsi"/>
        </w:rPr>
        <w:tab/>
        <w:t>dichiarazione di avvalimento di cui all’art.104 co.4 del Codice, sottoscritta digitalmente dall’ausiliaria, con la quale quest’ultima si obbliga, verso il concorrente e verso la stazione appaltante, a mettere a disposizione, per tutta la durata dell’appalto, le risorse oggetto del contratto di avvalimento;</w:t>
      </w:r>
    </w:p>
    <w:p w14:paraId="42189F04"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4)</w:t>
      </w:r>
      <w:r w:rsidRPr="006477F3">
        <w:rPr>
          <w:rFonts w:asciiTheme="majorHAnsi" w:hAnsiTheme="majorHAnsi" w:cstheme="majorHAnsi"/>
        </w:rPr>
        <w:tab/>
        <w:t>originale o copia autentica del contratto di avvalimento, in virtù del quale l’ausiliaria si obbliga, nei confronti del concorrente, a fornire le risorse oggetto di avvalimento, per tutta la durata dell’appalto. A tal fine il contratto di avvalimento contiene, a pena di nullità, ai sensi dell’art.104 comma 1 del Codice, la specificazione delle risorse messe a disposizione dall’ausiliaria. Il contratto deve essere allegato in originale sottoscritto digitalmente dai legali rappresentanti del concorrente e della ditta ausiliaria ovvero in copia autenticata da notaio o altro pubblico ufficiale a ciò autorizzato con le modalità di cui agli artt. 22 o 23- bis del D.Lgs.n.82/2005. Nel caso in cui il contratto sia redatto in forma di atto pubblico informatico, si applica il D.Lgs.n.110/2010; nel caso in cui il contratto sia redatto in forma di scrittura privata autenticata, si applica l’art. 25 del D.Lgs.n.82/2005. Nel caso di avvalimento esclusivamente finalizzato al miglioramento dell’offerta, il contratto di avvalimento può essere presentato anche nell’offerta tecnica;</w:t>
      </w:r>
    </w:p>
    <w:p w14:paraId="459921A6"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5)</w:t>
      </w:r>
      <w:r w:rsidRPr="006477F3">
        <w:rPr>
          <w:rFonts w:asciiTheme="majorHAnsi" w:hAnsiTheme="majorHAnsi" w:cstheme="majorHAnsi"/>
        </w:rPr>
        <w:tab/>
        <w:t>Documentazione di cui al paragrafo 15.2 in caso di concordato preventivo con continuità aziendale;</w:t>
      </w:r>
    </w:p>
    <w:p w14:paraId="1EACC083"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6)</w:t>
      </w:r>
      <w:r w:rsidRPr="006477F3">
        <w:rPr>
          <w:rFonts w:asciiTheme="majorHAnsi" w:hAnsiTheme="majorHAnsi" w:cstheme="majorHAnsi"/>
        </w:rPr>
        <w:tab/>
        <w:t>(</w:t>
      </w:r>
      <w:r w:rsidRPr="006477F3">
        <w:rPr>
          <w:rFonts w:asciiTheme="majorHAnsi" w:hAnsiTheme="majorHAnsi" w:cstheme="majorHAnsi"/>
          <w:i/>
          <w:iCs/>
        </w:rPr>
        <w:t>nel caso di operatori economici che occupano oltre cinquanta dipendenti</w:t>
      </w:r>
      <w:r w:rsidRPr="006477F3">
        <w:rPr>
          <w:rFonts w:asciiTheme="majorHAnsi" w:hAnsiTheme="majorHAnsi" w:cstheme="majorHAnsi"/>
        </w:rPr>
        <w:t>) copia dell'ultimo rapporto sulla situazione del personale, redatto, ai sensi dell'articolo 46, comma 2, decreto legislativo</w:t>
      </w:r>
    </w:p>
    <w:p w14:paraId="646227F2" w14:textId="77777777" w:rsidR="005F4B0B" w:rsidRPr="006477F3" w:rsidRDefault="005F4B0B" w:rsidP="005F4B0B">
      <w:pPr>
        <w:ind w:left="705"/>
        <w:jc w:val="both"/>
        <w:rPr>
          <w:rFonts w:asciiTheme="majorHAnsi" w:hAnsiTheme="majorHAnsi" w:cstheme="majorHAnsi"/>
        </w:rPr>
      </w:pPr>
      <w:r w:rsidRPr="006477F3">
        <w:rPr>
          <w:rFonts w:asciiTheme="majorHAnsi" w:hAnsiTheme="majorHAnsi" w:cstheme="majorHAnsi"/>
        </w:rPr>
        <w:t>n. 198/2006, con attestazione della sua conformità a quello eventualmente già trasmesso alle rappresentanze sindacali aziendali e ai consiglieri regionali di parità, ovvero, in caso d’inosservanza dei termini previsti dall’articolo 46, comma 1, decreto legislativo n. 198/ 2006, con consigliera e al consigliere regionale di parità.</w:t>
      </w:r>
    </w:p>
    <w:p w14:paraId="24A35E42" w14:textId="77777777" w:rsidR="005F4B0B" w:rsidRPr="006477F3" w:rsidRDefault="005F4B0B" w:rsidP="005F4B0B">
      <w:pPr>
        <w:jc w:val="both"/>
        <w:rPr>
          <w:rFonts w:asciiTheme="majorHAnsi" w:hAnsiTheme="majorHAnsi" w:cstheme="majorHAnsi"/>
        </w:rPr>
      </w:pPr>
    </w:p>
    <w:p w14:paraId="2A63E0AC" w14:textId="77777777" w:rsidR="005F4B0B" w:rsidRPr="006477F3" w:rsidRDefault="005F4B0B" w:rsidP="005F4B0B">
      <w:pPr>
        <w:jc w:val="both"/>
        <w:rPr>
          <w:rFonts w:asciiTheme="majorHAnsi" w:hAnsiTheme="majorHAnsi" w:cstheme="majorHAnsi"/>
        </w:rPr>
      </w:pPr>
    </w:p>
    <w:p w14:paraId="54AEE007"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15.4</w:t>
      </w:r>
      <w:r w:rsidRPr="006477F3">
        <w:rPr>
          <w:rFonts w:asciiTheme="majorHAnsi" w:hAnsiTheme="majorHAnsi" w:cstheme="majorHAnsi"/>
        </w:rPr>
        <w:tab/>
        <w:t>DOCUMENTAZIONE ULTERIORE PER I SOGGETTI ASSOCIATI</w:t>
      </w:r>
    </w:p>
    <w:p w14:paraId="53D55990"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In aggiunta a quanto previsto nei precedenti paragrafi da 15 a 15.3, si riporta di seguito la documentazione aggiuntiva a carico dei soggetti associati:</w:t>
      </w:r>
    </w:p>
    <w:p w14:paraId="3AD9CE2B" w14:textId="77777777" w:rsidR="005F4B0B" w:rsidRPr="006477F3" w:rsidRDefault="005F4B0B" w:rsidP="005F4B0B">
      <w:pPr>
        <w:jc w:val="both"/>
        <w:rPr>
          <w:rFonts w:asciiTheme="majorHAnsi" w:hAnsiTheme="majorHAnsi" w:cstheme="majorHAnsi"/>
        </w:rPr>
      </w:pPr>
    </w:p>
    <w:p w14:paraId="50C70DD4" w14:textId="77777777" w:rsidR="005F4B0B" w:rsidRPr="006477F3" w:rsidRDefault="005F4B0B" w:rsidP="005F4B0B">
      <w:pPr>
        <w:jc w:val="both"/>
        <w:rPr>
          <w:rFonts w:asciiTheme="majorHAnsi" w:hAnsiTheme="majorHAnsi" w:cstheme="majorHAnsi"/>
          <w:b/>
          <w:bCs/>
        </w:rPr>
      </w:pPr>
      <w:r w:rsidRPr="006477F3">
        <w:rPr>
          <w:rFonts w:asciiTheme="majorHAnsi" w:hAnsiTheme="majorHAnsi" w:cstheme="majorHAnsi"/>
          <w:b/>
          <w:bCs/>
        </w:rPr>
        <w:lastRenderedPageBreak/>
        <w:t>Per i raggruppamenti temporanei già costituiti</w:t>
      </w:r>
    </w:p>
    <w:p w14:paraId="7F6A5F6B"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dichiarazione in cui si indicano gli estremi completi dell’atto costitutivo e del mandato collettivo irrevocabile con rappresentanza conferito alla mandataria per atto pubblico o scrittura privata autenticata.</w:t>
      </w:r>
    </w:p>
    <w:p w14:paraId="2EDB912B"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dichiarazione delle parti del servizio/fornitura, ovvero della percentuale in caso di servizio/forniture indivisibili, che saranno eseguite dai singoli operatori economici riuniti o consorziati.</w:t>
      </w:r>
    </w:p>
    <w:p w14:paraId="62838F3A" w14:textId="77777777" w:rsidR="005F4B0B" w:rsidRPr="006477F3" w:rsidRDefault="005F4B0B" w:rsidP="005F4B0B">
      <w:pPr>
        <w:jc w:val="both"/>
        <w:rPr>
          <w:rFonts w:asciiTheme="majorHAnsi" w:hAnsiTheme="majorHAnsi" w:cstheme="majorHAnsi"/>
          <w:b/>
          <w:bCs/>
        </w:rPr>
      </w:pPr>
      <w:r w:rsidRPr="006477F3">
        <w:rPr>
          <w:rFonts w:asciiTheme="majorHAnsi" w:hAnsiTheme="majorHAnsi" w:cstheme="majorHAnsi"/>
          <w:b/>
          <w:bCs/>
        </w:rPr>
        <w:t>Per i consorzi ordinari o GEIE già costituiti</w:t>
      </w:r>
    </w:p>
    <w:p w14:paraId="6C1A87A6"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dichiarazione in cui si indicano gli estremi completi dell’atto costitutivo e dello statuto del consorzio o GEIE con indicazione del soggetto designato quale capofila.</w:t>
      </w:r>
    </w:p>
    <w:p w14:paraId="50D2D481"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dichiarazione sottoscritta delle parti del servizio/fornitura, ovvero la percentuale in caso di servizi/forniture indivisibili, che saranno eseguite dai singoli operatori economici consorziati.</w:t>
      </w:r>
    </w:p>
    <w:p w14:paraId="4FDDB17A" w14:textId="77777777" w:rsidR="005F4B0B" w:rsidRPr="006477F3" w:rsidRDefault="005F4B0B" w:rsidP="005F4B0B">
      <w:pPr>
        <w:ind w:left="705" w:hanging="705"/>
        <w:jc w:val="both"/>
        <w:rPr>
          <w:rFonts w:asciiTheme="majorHAnsi" w:hAnsiTheme="majorHAnsi" w:cstheme="majorHAnsi"/>
        </w:rPr>
      </w:pPr>
    </w:p>
    <w:p w14:paraId="432F339A" w14:textId="77777777" w:rsidR="005F4B0B" w:rsidRPr="006477F3" w:rsidRDefault="005F4B0B" w:rsidP="005F4B0B">
      <w:pPr>
        <w:jc w:val="both"/>
        <w:rPr>
          <w:rFonts w:asciiTheme="majorHAnsi" w:hAnsiTheme="majorHAnsi" w:cstheme="majorHAnsi"/>
          <w:b/>
          <w:bCs/>
        </w:rPr>
      </w:pPr>
      <w:r w:rsidRPr="006477F3">
        <w:rPr>
          <w:rFonts w:asciiTheme="majorHAnsi" w:hAnsiTheme="majorHAnsi" w:cstheme="majorHAnsi"/>
          <w:b/>
          <w:bCs/>
        </w:rPr>
        <w:t>Per i raggruppamenti temporanei o consorzi ordinari o GEIE non ancora costituiti</w:t>
      </w:r>
    </w:p>
    <w:p w14:paraId="04DB7384"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dichiarazione resa da ciascun concorrente attestante:</w:t>
      </w:r>
    </w:p>
    <w:p w14:paraId="71EB36E3" w14:textId="0374AE5E" w:rsidR="005F4B0B" w:rsidRPr="006477F3" w:rsidRDefault="005F4B0B" w:rsidP="0069424C">
      <w:pPr>
        <w:pStyle w:val="Paragrafoelenco"/>
        <w:numPr>
          <w:ilvl w:val="1"/>
          <w:numId w:val="32"/>
        </w:numPr>
        <w:jc w:val="both"/>
        <w:rPr>
          <w:rFonts w:asciiTheme="majorHAnsi" w:hAnsiTheme="majorHAnsi" w:cstheme="majorHAnsi"/>
        </w:rPr>
      </w:pPr>
      <w:r w:rsidRPr="006477F3">
        <w:rPr>
          <w:rFonts w:asciiTheme="majorHAnsi" w:hAnsiTheme="majorHAnsi" w:cstheme="majorHAnsi"/>
        </w:rPr>
        <w:t>A quale operatore economico, in caso di aggiudicazione, sarà conferito mandato speciale con rappresentanza o funzioni di capogruppo;</w:t>
      </w:r>
    </w:p>
    <w:p w14:paraId="67A59B8C" w14:textId="1849C13E" w:rsidR="005F4B0B" w:rsidRPr="006477F3" w:rsidRDefault="005F4B0B" w:rsidP="0069424C">
      <w:pPr>
        <w:pStyle w:val="Paragrafoelenco"/>
        <w:numPr>
          <w:ilvl w:val="1"/>
          <w:numId w:val="32"/>
        </w:numPr>
        <w:jc w:val="both"/>
        <w:rPr>
          <w:rFonts w:asciiTheme="majorHAnsi" w:hAnsiTheme="majorHAnsi" w:cstheme="majorHAnsi"/>
        </w:rPr>
      </w:pPr>
      <w:r w:rsidRPr="006477F3">
        <w:rPr>
          <w:rFonts w:asciiTheme="majorHAnsi" w:hAnsiTheme="majorHAnsi" w:cstheme="majorHAnsi"/>
        </w:rPr>
        <w:t>l’impegno, in caso di aggiudicazione, ad uniformarsi alla disciplina vigente con riguardo ai raggruppamenti temporanei o consorzi o GEIE ai sensi dell’art.68 del Codice conferendo mandato collettivo speciale con rappresentanza all’impresa qualificata come mandataria che stipulerà il contratto in nome e per conto delle mandanti/consorziate;</w:t>
      </w:r>
    </w:p>
    <w:p w14:paraId="574D3814" w14:textId="6DA8C505" w:rsidR="005F4B0B" w:rsidRPr="006477F3" w:rsidRDefault="005F4B0B" w:rsidP="0069424C">
      <w:pPr>
        <w:pStyle w:val="Paragrafoelenco"/>
        <w:numPr>
          <w:ilvl w:val="1"/>
          <w:numId w:val="32"/>
        </w:numPr>
        <w:jc w:val="both"/>
        <w:rPr>
          <w:rFonts w:asciiTheme="majorHAnsi" w:hAnsiTheme="majorHAnsi" w:cstheme="majorHAnsi"/>
        </w:rPr>
      </w:pPr>
      <w:r w:rsidRPr="006477F3">
        <w:rPr>
          <w:rFonts w:asciiTheme="majorHAnsi" w:hAnsiTheme="majorHAnsi" w:cstheme="majorHAnsi"/>
        </w:rPr>
        <w:t>le parti del servizio/fornitura, ovvero la percentuale in caso di servizio/forniture indivisibili, che saranno eseguite dai singoli operatori economici riuniti o consorziati.</w:t>
      </w:r>
    </w:p>
    <w:p w14:paraId="211E3DAE"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b/>
          <w:bCs/>
        </w:rPr>
        <w:t>Per le aggregazioni di retisti</w:t>
      </w:r>
      <w:r w:rsidRPr="006477F3">
        <w:rPr>
          <w:rFonts w:asciiTheme="majorHAnsi" w:hAnsiTheme="majorHAnsi" w:cstheme="majorHAnsi"/>
        </w:rPr>
        <w:t xml:space="preserve">: </w:t>
      </w:r>
      <w:r w:rsidRPr="006477F3">
        <w:rPr>
          <w:rFonts w:asciiTheme="majorHAnsi" w:hAnsiTheme="majorHAnsi" w:cstheme="majorHAnsi"/>
          <w:b/>
          <w:bCs/>
        </w:rPr>
        <w:t>se la rete è dotata di un organo comune con potere di rappresentanza e soggettività giuridica</w:t>
      </w:r>
    </w:p>
    <w:p w14:paraId="2030FD40"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dichiarazione in cui si indicano gli estremi completi del contratto di rete, redatto per atto pubblico o scrittura privata autenticata, ovvero per atto firmato digitalmente a norma dell’art. 25 del D.Lgs. 82/2005, con indicazione dell’organo comune che agisce in rappresentanza della rete;</w:t>
      </w:r>
    </w:p>
    <w:p w14:paraId="12704D34"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dichiarazione, sottoscritta dal legale rappresentante dell’organo comune, che indichi per quali imprese la rete concorre;</w:t>
      </w:r>
    </w:p>
    <w:p w14:paraId="794E8C45"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dichiarazione che indichi le parti del servizio o della fornitura, ovvero la percentuale in caso di servizio/forniture indivisibili, che saranno eseguite dai singoli operatori economici aggregati in rete.</w:t>
      </w:r>
    </w:p>
    <w:p w14:paraId="55681EBD" w14:textId="77777777" w:rsidR="005F4B0B" w:rsidRPr="006477F3" w:rsidRDefault="005F4B0B" w:rsidP="005F4B0B">
      <w:pPr>
        <w:jc w:val="both"/>
        <w:rPr>
          <w:rFonts w:asciiTheme="majorHAnsi" w:hAnsiTheme="majorHAnsi" w:cstheme="majorHAnsi"/>
          <w:b/>
          <w:bCs/>
        </w:rPr>
      </w:pPr>
      <w:r w:rsidRPr="006477F3">
        <w:rPr>
          <w:rFonts w:asciiTheme="majorHAnsi" w:hAnsiTheme="majorHAnsi" w:cstheme="majorHAnsi"/>
          <w:b/>
          <w:bCs/>
        </w:rPr>
        <w:t>Per le aggregazioni di retisti: se la rete è dotata di un organo comune con potere di rappresentanza ma è priva di soggettività giuridica</w:t>
      </w:r>
    </w:p>
    <w:p w14:paraId="16701340"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 xml:space="preserve">dichiarazione in cui si indicano gli estremi completi del contratto di rete, redatto per atto pubblico o scrittura privata autenticata, ovvero per atto firmato digitalmente a norma dell’art. 25 del D.Lgs.n. 82/2005, recante il mandato collettivo irrevocabile con rappresentanza conferito alla impresa mandataria; qualora il contratto di rete sia stato redatto con mera firma digitale non autenticata ai sensi dell’art. 24 del D.Lgs. n.82/2005, il mandato nel contratto di rete non può ritenersi sufficiente e sarà obbligatorio conferire </w:t>
      </w:r>
      <w:r w:rsidRPr="006477F3">
        <w:rPr>
          <w:rFonts w:asciiTheme="majorHAnsi" w:hAnsiTheme="majorHAnsi" w:cstheme="majorHAnsi"/>
        </w:rPr>
        <w:lastRenderedPageBreak/>
        <w:t>un nuovo mandato nella forma della scrittura privata autenticata, anche ai sensi dell’art. 25 del D.Lgs.n.82/2005;</w:t>
      </w:r>
    </w:p>
    <w:p w14:paraId="07002548"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dichiarazione che indichi le parti del servizio o della fornitura, ovvero la percentuale in caso di servizio/forniture indivisibili, che saranno eseguite dai singoli operatori economici aggregati in rete.</w:t>
      </w:r>
    </w:p>
    <w:p w14:paraId="4DBBB648" w14:textId="6E13C1D6" w:rsidR="005F4B0B" w:rsidRPr="006477F3" w:rsidRDefault="005F4B0B" w:rsidP="005F4B0B">
      <w:pPr>
        <w:jc w:val="both"/>
        <w:rPr>
          <w:rFonts w:asciiTheme="majorHAnsi" w:hAnsiTheme="majorHAnsi" w:cstheme="majorHAnsi"/>
        </w:rPr>
      </w:pPr>
      <w:r w:rsidRPr="006477F3">
        <w:rPr>
          <w:rFonts w:asciiTheme="majorHAnsi" w:hAnsiTheme="majorHAnsi" w:cstheme="majorHAnsi"/>
          <w:b/>
          <w:bCs/>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RTI costituito o costituendo:</w:t>
      </w:r>
    </w:p>
    <w:p w14:paraId="57B1B291" w14:textId="53AE82EF"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r>
      <w:r w:rsidRPr="006477F3">
        <w:rPr>
          <w:rFonts w:asciiTheme="majorHAnsi" w:hAnsiTheme="majorHAnsi" w:cstheme="majorHAnsi"/>
          <w:b/>
          <w:bCs/>
        </w:rPr>
        <w:t>in caso di RTI costituito</w:t>
      </w:r>
      <w:r w:rsidRPr="006477F3">
        <w:rPr>
          <w:rFonts w:asciiTheme="majorHAnsi" w:hAnsiTheme="majorHAnsi" w:cstheme="majorHAnsi"/>
        </w:rPr>
        <w:t>: dichiarazione in cui si indicano gli estremi completi del contratto di rete, redatto per atto pubblico o scrittura privata autenticata ovvero per atto firmato digitalmente a norma dell’art. 25 del D.Lgs. n.82/2005 con allegato il mandato collettivo irrevocabile con rappresentanza conferito alla mandataria, recante l’indicazione del soggetto designato quale mandatario e delle parti del servizio o della fornitura, ovvero della percentuale in caso di servizio/forniture indivisibili, che saranno eseguite dai singoli operatori economici aggregati in rete; qualora il contratto di rete sia stato redatto con mera firma digitale non autenticata ai sensi dell’art. 24 del D.Lgs. n.82/2005, il mandato deve avere la forma dell’atto pubblico o della scrittura privata autenticata, anche ai sensi dell’art. 25 del D.Lgs.n.82/2005;</w:t>
      </w:r>
    </w:p>
    <w:p w14:paraId="571C584A"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r>
      <w:r w:rsidRPr="006477F3">
        <w:rPr>
          <w:rFonts w:asciiTheme="majorHAnsi" w:hAnsiTheme="majorHAnsi" w:cstheme="majorHAnsi"/>
          <w:b/>
          <w:bCs/>
        </w:rPr>
        <w:t>in caso di RTI costituendo</w:t>
      </w:r>
      <w:r w:rsidRPr="006477F3">
        <w:rPr>
          <w:rFonts w:asciiTheme="majorHAnsi" w:hAnsiTheme="majorHAnsi" w:cstheme="majorHAnsi"/>
        </w:rPr>
        <w:t>: dichiarazione in cui si indicano gli estremi completi del contratto di rete, redatto per atto pubblico o scrittura privata autenticata, ovvero per atto firmato digitalmente a norma dell’art. 25 del D.Lgs. 82/2005, con allegate le dichiarazioni, rese da ciascun concorrente aderente al contratto di rete, attestanti:</w:t>
      </w:r>
    </w:p>
    <w:p w14:paraId="7573F322" w14:textId="244F61A9" w:rsidR="005F4B0B" w:rsidRPr="006477F3" w:rsidRDefault="005F4B0B" w:rsidP="0069424C">
      <w:pPr>
        <w:pStyle w:val="Paragrafoelenco"/>
        <w:numPr>
          <w:ilvl w:val="1"/>
          <w:numId w:val="33"/>
        </w:numPr>
        <w:jc w:val="both"/>
        <w:rPr>
          <w:rFonts w:asciiTheme="majorHAnsi" w:hAnsiTheme="majorHAnsi" w:cstheme="majorHAnsi"/>
        </w:rPr>
      </w:pPr>
      <w:r w:rsidRPr="006477F3">
        <w:rPr>
          <w:rFonts w:asciiTheme="majorHAnsi" w:hAnsiTheme="majorHAnsi" w:cstheme="majorHAnsi"/>
        </w:rPr>
        <w:t>a quale concorrente, in caso di aggiudicazione, sarà conferito mandato speciale con rappresentanza o funzioni di capogruppo;</w:t>
      </w:r>
    </w:p>
    <w:p w14:paraId="7C4360E6" w14:textId="5A132C87" w:rsidR="005F4B0B" w:rsidRPr="006477F3" w:rsidRDefault="005F4B0B" w:rsidP="0069424C">
      <w:pPr>
        <w:pStyle w:val="Paragrafoelenco"/>
        <w:numPr>
          <w:ilvl w:val="1"/>
          <w:numId w:val="33"/>
        </w:numPr>
        <w:jc w:val="both"/>
        <w:rPr>
          <w:rFonts w:asciiTheme="majorHAnsi" w:hAnsiTheme="majorHAnsi" w:cstheme="majorHAnsi"/>
        </w:rPr>
      </w:pPr>
      <w:r w:rsidRPr="006477F3">
        <w:rPr>
          <w:rFonts w:asciiTheme="majorHAnsi" w:hAnsiTheme="majorHAnsi" w:cstheme="majorHAnsi"/>
        </w:rPr>
        <w:t>l’impegno, in caso di aggiudicazione, ad uniformarsi alla disciplina vigente in materia di raggruppamenti temporanei;</w:t>
      </w:r>
    </w:p>
    <w:p w14:paraId="3FE95A01" w14:textId="53DA11A5" w:rsidR="005F4B0B" w:rsidRPr="006477F3" w:rsidRDefault="005F4B0B" w:rsidP="0069424C">
      <w:pPr>
        <w:pStyle w:val="Paragrafoelenco"/>
        <w:numPr>
          <w:ilvl w:val="1"/>
          <w:numId w:val="33"/>
        </w:numPr>
        <w:jc w:val="both"/>
        <w:rPr>
          <w:rFonts w:asciiTheme="majorHAnsi" w:hAnsiTheme="majorHAnsi" w:cstheme="majorHAnsi"/>
        </w:rPr>
      </w:pPr>
      <w:r w:rsidRPr="006477F3">
        <w:rPr>
          <w:rFonts w:asciiTheme="majorHAnsi" w:hAnsiTheme="majorHAnsi" w:cstheme="majorHAnsi"/>
        </w:rPr>
        <w:t>le parti del servizio o della fornitura, ovvero la percentuale in caso di servizio/forniture indivisibili, che saranno eseguite dai singoli operatori economici aggregati in rete.</w:t>
      </w:r>
    </w:p>
    <w:p w14:paraId="15B03250" w14:textId="77777777" w:rsidR="005F4B0B" w:rsidRPr="006477F3" w:rsidRDefault="005F4B0B" w:rsidP="005F4B0B">
      <w:pPr>
        <w:pStyle w:val="Paragrafoelenco"/>
        <w:ind w:left="1440"/>
        <w:jc w:val="both"/>
        <w:rPr>
          <w:rFonts w:asciiTheme="majorHAnsi" w:hAnsiTheme="majorHAnsi" w:cstheme="majorHAnsi"/>
        </w:rPr>
      </w:pPr>
    </w:p>
    <w:p w14:paraId="762EBB57"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u w:val="single"/>
        </w:rPr>
        <w:t>Si precisa quanto segue</w:t>
      </w:r>
      <w:r w:rsidRPr="006477F3">
        <w:rPr>
          <w:rFonts w:asciiTheme="majorHAnsi" w:hAnsiTheme="majorHAnsi" w:cstheme="majorHAnsi"/>
        </w:rPr>
        <w:t>:</w:t>
      </w:r>
    </w:p>
    <w:p w14:paraId="79D5F6C8"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Le dichiarazioni sopra riportate sono sottoscritte digitalmente:</w:t>
      </w:r>
    </w:p>
    <w:p w14:paraId="2069525D"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nel caso di raggruppamenti temporanei, consorzi ordinari, GEIE, da tutti gli operatori economici che partecipano alla procedura in forma congiunta;</w:t>
      </w:r>
    </w:p>
    <w:p w14:paraId="03898F6F" w14:textId="77777777" w:rsidR="005F4B0B" w:rsidRPr="006477F3" w:rsidRDefault="005F4B0B" w:rsidP="005F4B0B">
      <w:pPr>
        <w:ind w:left="705" w:hanging="705"/>
        <w:jc w:val="both"/>
        <w:rPr>
          <w:rFonts w:asciiTheme="majorHAnsi" w:hAnsiTheme="majorHAnsi" w:cstheme="majorHAnsi"/>
        </w:rPr>
      </w:pPr>
      <w:r w:rsidRPr="006477F3">
        <w:rPr>
          <w:rFonts w:asciiTheme="majorHAnsi" w:hAnsiTheme="majorHAnsi" w:cstheme="majorHAnsi"/>
        </w:rPr>
        <w:t></w:t>
      </w:r>
      <w:r w:rsidRPr="006477F3">
        <w:rPr>
          <w:rFonts w:asciiTheme="majorHAnsi" w:hAnsiTheme="majorHAnsi" w:cstheme="majorHAnsi"/>
        </w:rPr>
        <w:tab/>
        <w:t>nel caso di aggregazioni di imprese di rete da ognuna delle imprese retiste, se l’intera rete partecipa, ovvero dall’organo comune e dalle singole imprese retiste indicate.</w:t>
      </w:r>
    </w:p>
    <w:p w14:paraId="5BE9A8F6" w14:textId="77777777" w:rsidR="005F4B0B" w:rsidRPr="006477F3" w:rsidRDefault="005F4B0B" w:rsidP="004B69F0">
      <w:pPr>
        <w:jc w:val="both"/>
        <w:rPr>
          <w:rFonts w:asciiTheme="majorHAnsi" w:hAnsiTheme="majorHAnsi" w:cstheme="majorHAnsi"/>
        </w:rPr>
      </w:pPr>
    </w:p>
    <w:p w14:paraId="3FAD8589" w14:textId="77777777" w:rsidR="005F4B0B" w:rsidRPr="006477F3" w:rsidRDefault="005F4B0B" w:rsidP="005F4B0B">
      <w:pPr>
        <w:jc w:val="both"/>
        <w:rPr>
          <w:rFonts w:asciiTheme="majorHAnsi" w:hAnsiTheme="majorHAnsi" w:cstheme="majorHAnsi"/>
          <w:b/>
          <w:bCs/>
        </w:rPr>
      </w:pPr>
      <w:r w:rsidRPr="006477F3">
        <w:rPr>
          <w:rFonts w:asciiTheme="majorHAnsi" w:hAnsiTheme="majorHAnsi" w:cstheme="majorHAnsi"/>
          <w:b/>
          <w:bCs/>
        </w:rPr>
        <w:t>16.</w:t>
      </w:r>
      <w:r w:rsidRPr="006477F3">
        <w:rPr>
          <w:rFonts w:asciiTheme="majorHAnsi" w:hAnsiTheme="majorHAnsi" w:cstheme="majorHAnsi"/>
          <w:b/>
          <w:bCs/>
        </w:rPr>
        <w:tab/>
        <w:t>OFFERTA TECNICA</w:t>
      </w:r>
    </w:p>
    <w:p w14:paraId="7EE8C1BE"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Nell’ambito della sezione “</w:t>
      </w:r>
      <w:r w:rsidRPr="006477F3">
        <w:rPr>
          <w:rFonts w:asciiTheme="majorHAnsi" w:hAnsiTheme="majorHAnsi" w:cstheme="majorHAnsi"/>
          <w:b/>
          <w:bCs/>
        </w:rPr>
        <w:t>Step 2 – Busta tecnica</w:t>
      </w:r>
      <w:r w:rsidRPr="006477F3">
        <w:rPr>
          <w:rFonts w:asciiTheme="majorHAnsi" w:hAnsiTheme="majorHAnsi" w:cstheme="majorHAnsi"/>
        </w:rPr>
        <w:t>”, l’operatore economico, previa compilazione dei campi eventualmente presenti a video, deve inserire l’offerta tecnica, completa di allegati ove previsti, contenente una proposta tecnico-organizzativa redatta in maniera speculare ai criteri e ai subcriteri di valutazione indicati nella Tabella di cui al successivo paragrafo 18.1.</w:t>
      </w:r>
    </w:p>
    <w:p w14:paraId="425D8238" w14:textId="77777777" w:rsidR="005F4B0B" w:rsidRPr="006477F3" w:rsidRDefault="005F4B0B" w:rsidP="005F4B0B">
      <w:pPr>
        <w:jc w:val="both"/>
        <w:rPr>
          <w:rFonts w:asciiTheme="majorHAnsi" w:hAnsiTheme="majorHAnsi" w:cstheme="majorHAnsi"/>
        </w:rPr>
      </w:pPr>
      <w:r w:rsidRPr="006477F3">
        <w:rPr>
          <w:rFonts w:asciiTheme="majorHAnsi" w:hAnsiTheme="majorHAnsi" w:cstheme="majorHAnsi"/>
        </w:rPr>
        <w:t>In particolare, l’operatore dovrà allegare la documentazione di seguito riportata:</w:t>
      </w:r>
    </w:p>
    <w:p w14:paraId="18598346" w14:textId="77777777" w:rsidR="005F4B0B" w:rsidRPr="006477F3" w:rsidRDefault="005F4B0B" w:rsidP="005F4B0B">
      <w:pPr>
        <w:jc w:val="both"/>
        <w:rPr>
          <w:rFonts w:asciiTheme="majorHAnsi" w:hAnsiTheme="majorHAnsi" w:cstheme="majorHAnsi"/>
        </w:rPr>
      </w:pPr>
    </w:p>
    <w:p w14:paraId="06837CEE" w14:textId="3D0DE19B" w:rsidR="005F4B0B" w:rsidRPr="006477F3" w:rsidRDefault="005F4B0B" w:rsidP="005F4B0B">
      <w:pPr>
        <w:jc w:val="both"/>
        <w:rPr>
          <w:rFonts w:asciiTheme="majorHAnsi" w:hAnsiTheme="majorHAnsi" w:cstheme="majorHAnsi"/>
        </w:rPr>
      </w:pPr>
      <w:r w:rsidRPr="006477F3">
        <w:rPr>
          <w:rFonts w:ascii="Cambria Math" w:hAnsi="Cambria Math" w:cs="Cambria Math"/>
        </w:rPr>
        <w:lastRenderedPageBreak/>
        <w:t>⇒</w:t>
      </w:r>
      <w:r w:rsidRPr="006477F3">
        <w:rPr>
          <w:rFonts w:asciiTheme="majorHAnsi" w:hAnsiTheme="majorHAnsi" w:cstheme="majorHAnsi"/>
        </w:rPr>
        <w:t xml:space="preserve"> la propria </w:t>
      </w:r>
      <w:r w:rsidRPr="006477F3">
        <w:rPr>
          <w:rFonts w:asciiTheme="majorHAnsi" w:hAnsiTheme="majorHAnsi" w:cstheme="majorHAnsi"/>
          <w:b/>
          <w:bCs/>
        </w:rPr>
        <w:t>RELAZIONE TECNICA</w:t>
      </w:r>
      <w:r w:rsidRPr="006477F3">
        <w:rPr>
          <w:rFonts w:asciiTheme="majorHAnsi" w:hAnsiTheme="majorHAnsi" w:cstheme="majorHAnsi"/>
        </w:rPr>
        <w:t>, predisposta direttamente dal concorrente, che non dovrà superare complessivamente 20 (venti) facciate formato A4, dattiloscritte utilizzando il carattere Times New Roman, di dimensione 12 (dodici) e interlinea singola.</w:t>
      </w:r>
    </w:p>
    <w:p w14:paraId="30B16E15" w14:textId="77777777" w:rsidR="006477F3" w:rsidRPr="006477F3" w:rsidRDefault="006477F3" w:rsidP="006477F3">
      <w:pPr>
        <w:jc w:val="both"/>
        <w:rPr>
          <w:rFonts w:asciiTheme="majorHAnsi" w:hAnsiTheme="majorHAnsi" w:cstheme="majorHAnsi"/>
        </w:rPr>
      </w:pPr>
    </w:p>
    <w:p w14:paraId="5DA3E504" w14:textId="5E47117F" w:rsidR="006477F3" w:rsidRDefault="006477F3" w:rsidP="006477F3">
      <w:pPr>
        <w:jc w:val="both"/>
        <w:rPr>
          <w:rFonts w:asciiTheme="majorHAnsi" w:hAnsiTheme="majorHAnsi" w:cstheme="majorHAnsi"/>
        </w:rPr>
      </w:pPr>
      <w:r w:rsidRPr="006477F3">
        <w:rPr>
          <w:rFonts w:asciiTheme="majorHAnsi" w:hAnsiTheme="majorHAnsi" w:cstheme="majorHAnsi"/>
        </w:rPr>
        <w:t>Nel caso di avvalimento esclusivamente finalizzato al miglioramento dell’offerta, va allegato il contratto di avvalimento</w:t>
      </w:r>
      <w:r w:rsidR="00FD2B2F">
        <w:rPr>
          <w:rFonts w:asciiTheme="majorHAnsi" w:hAnsiTheme="majorHAnsi" w:cstheme="majorHAnsi"/>
        </w:rPr>
        <w:t>.</w:t>
      </w:r>
    </w:p>
    <w:p w14:paraId="60AE1A26" w14:textId="77777777" w:rsidR="00FD2B2F" w:rsidRDefault="00FD2B2F" w:rsidP="006477F3">
      <w:pPr>
        <w:jc w:val="both"/>
        <w:rPr>
          <w:rFonts w:asciiTheme="majorHAnsi" w:hAnsiTheme="majorHAnsi" w:cstheme="majorHAnsi"/>
        </w:rPr>
      </w:pPr>
    </w:p>
    <w:p w14:paraId="51A52903" w14:textId="187A562F" w:rsidR="009D115E" w:rsidRPr="009D115E" w:rsidRDefault="009D115E" w:rsidP="009D115E">
      <w:pPr>
        <w:numPr>
          <w:ilvl w:val="0"/>
          <w:numId w:val="72"/>
        </w:numPr>
        <w:jc w:val="both"/>
        <w:rPr>
          <w:rFonts w:asciiTheme="majorHAnsi" w:hAnsiTheme="majorHAnsi" w:cstheme="majorHAnsi"/>
        </w:rPr>
      </w:pPr>
      <w:r w:rsidRPr="009D115E">
        <w:rPr>
          <w:rFonts w:asciiTheme="majorHAnsi" w:hAnsiTheme="majorHAnsi" w:cstheme="majorHAnsi"/>
        </w:rPr>
        <w:t xml:space="preserve">Eventuale: Dichiarazione firmata digitalmente dal legale rappresentante, contenente i dettagli dell’offerta coperti da riservatezza, argomentando in modo congruo le ragioni per le quali eventuali parti dell’offerta sono da segretare e copia firmata digitalmente della relazione tecnica adeguatamente oscurata nelle parti ritenute costituenti segreti tecnici e commerciali </w:t>
      </w:r>
    </w:p>
    <w:p w14:paraId="0E05DF77" w14:textId="7051E957" w:rsidR="00FD2B2F" w:rsidRPr="009D115E" w:rsidRDefault="00FD2B2F" w:rsidP="006477F3">
      <w:pPr>
        <w:jc w:val="both"/>
        <w:rPr>
          <w:rFonts w:asciiTheme="majorHAnsi" w:hAnsiTheme="majorHAnsi" w:cstheme="majorHAnsi"/>
        </w:rPr>
      </w:pPr>
    </w:p>
    <w:p w14:paraId="5A11D4DD" w14:textId="77777777" w:rsidR="006477F3" w:rsidRPr="009D115E" w:rsidRDefault="006477F3" w:rsidP="006477F3">
      <w:pPr>
        <w:jc w:val="both"/>
        <w:rPr>
          <w:rFonts w:asciiTheme="majorHAnsi" w:hAnsiTheme="majorHAnsi" w:cstheme="majorHAnsi"/>
        </w:rPr>
      </w:pPr>
    </w:p>
    <w:p w14:paraId="269122A3" w14:textId="77777777" w:rsidR="006477F3" w:rsidRPr="006477F3" w:rsidRDefault="006477F3" w:rsidP="006477F3">
      <w:pPr>
        <w:jc w:val="both"/>
        <w:rPr>
          <w:rFonts w:asciiTheme="majorHAnsi" w:hAnsiTheme="majorHAnsi" w:cstheme="majorHAnsi"/>
        </w:rPr>
      </w:pPr>
      <w:r w:rsidRPr="006477F3">
        <w:rPr>
          <w:rFonts w:asciiTheme="majorHAnsi" w:hAnsiTheme="majorHAnsi" w:cstheme="majorHAnsi"/>
        </w:rPr>
        <w:t>Nella predisposizione della propria offerta tecnica, il concorrente deve tener conto di quanto segue:</w:t>
      </w:r>
    </w:p>
    <w:p w14:paraId="28EA89E7" w14:textId="009AE598" w:rsidR="006477F3" w:rsidRDefault="006477F3" w:rsidP="0069424C">
      <w:pPr>
        <w:pStyle w:val="Paragrafoelenco"/>
        <w:numPr>
          <w:ilvl w:val="0"/>
          <w:numId w:val="34"/>
        </w:numPr>
        <w:jc w:val="both"/>
        <w:rPr>
          <w:rFonts w:asciiTheme="majorHAnsi" w:hAnsiTheme="majorHAnsi" w:cstheme="majorHAnsi"/>
        </w:rPr>
      </w:pPr>
      <w:r w:rsidRPr="006477F3">
        <w:rPr>
          <w:rFonts w:asciiTheme="majorHAnsi" w:hAnsiTheme="majorHAnsi" w:cstheme="majorHAnsi"/>
        </w:rPr>
        <w:t>L’offerta tecnica deve rispettare le caratteristiche minime stabilite nei documenti di gara, pena l’esclusione dalla procedura di gara, nel rispetto del principio di equivalenza.</w:t>
      </w:r>
    </w:p>
    <w:p w14:paraId="678B633A" w14:textId="77777777" w:rsidR="006477F3" w:rsidRPr="006477F3" w:rsidRDefault="006477F3" w:rsidP="006477F3">
      <w:pPr>
        <w:ind w:left="360"/>
        <w:jc w:val="both"/>
        <w:rPr>
          <w:rFonts w:asciiTheme="majorHAnsi" w:hAnsiTheme="majorHAnsi" w:cstheme="majorHAnsi"/>
        </w:rPr>
      </w:pPr>
    </w:p>
    <w:p w14:paraId="48B92FB8" w14:textId="77777777" w:rsidR="006477F3" w:rsidRPr="006477F3" w:rsidRDefault="006477F3" w:rsidP="006477F3">
      <w:pPr>
        <w:jc w:val="both"/>
        <w:rPr>
          <w:rFonts w:asciiTheme="majorHAnsi" w:hAnsiTheme="majorHAnsi" w:cstheme="majorHAnsi"/>
        </w:rPr>
      </w:pPr>
      <w:r w:rsidRPr="006477F3">
        <w:rPr>
          <w:rFonts w:asciiTheme="majorHAnsi" w:hAnsiTheme="majorHAnsi" w:cstheme="majorHAnsi"/>
        </w:rPr>
        <w:t>Si precisa quanto segue:</w:t>
      </w:r>
    </w:p>
    <w:p w14:paraId="036886A8" w14:textId="297C1B89" w:rsidR="006477F3" w:rsidRPr="006477F3" w:rsidRDefault="006477F3" w:rsidP="0069424C">
      <w:pPr>
        <w:pStyle w:val="Paragrafoelenco"/>
        <w:numPr>
          <w:ilvl w:val="1"/>
          <w:numId w:val="35"/>
        </w:numPr>
        <w:jc w:val="both"/>
        <w:rPr>
          <w:rFonts w:asciiTheme="majorHAnsi" w:hAnsiTheme="majorHAnsi" w:cstheme="majorHAnsi"/>
        </w:rPr>
      </w:pPr>
      <w:r w:rsidRPr="006477F3">
        <w:rPr>
          <w:rFonts w:asciiTheme="majorHAnsi" w:hAnsiTheme="majorHAnsi" w:cstheme="majorHAnsi"/>
        </w:rPr>
        <w:t>l’offerta tecnica - come sopra descritta, completa di allegati ove previsti- deve essere sottoscritta digitalmente dal legale rappresentante del concorrente o da un suo procuratore. Qualora l’offerta tecnica sia firmata da procuratore speciale è necessario produrre all’interno della documentazione amministrativa - una dichiarazione sottoscritta digitalmente in cui si attesti tale qualità, indicando gli estremi completi della procura che conferisce i necessari poteri.</w:t>
      </w:r>
    </w:p>
    <w:p w14:paraId="5C028238" w14:textId="69BCFF77" w:rsidR="006477F3" w:rsidRPr="006477F3" w:rsidRDefault="006477F3" w:rsidP="0069424C">
      <w:pPr>
        <w:pStyle w:val="Paragrafoelenco"/>
        <w:numPr>
          <w:ilvl w:val="1"/>
          <w:numId w:val="35"/>
        </w:numPr>
        <w:jc w:val="both"/>
        <w:rPr>
          <w:rFonts w:asciiTheme="majorHAnsi" w:hAnsiTheme="majorHAnsi" w:cstheme="majorHAnsi"/>
        </w:rPr>
      </w:pPr>
      <w:r w:rsidRPr="006477F3">
        <w:rPr>
          <w:rFonts w:asciiTheme="majorHAnsi" w:hAnsiTheme="majorHAnsi" w:cstheme="majorHAnsi"/>
        </w:rPr>
        <w:t>In caso di società amministrate da più coamministratori con firma congiunta, l’offerta tecnica va sottoscritta digitalmente da tutti i coamministratori a firma congiunta, fermo restando che uno solo di essi opera sulla Piattaforma.</w:t>
      </w:r>
    </w:p>
    <w:p w14:paraId="162D04FC" w14:textId="77777777" w:rsidR="006477F3" w:rsidRPr="006477F3" w:rsidRDefault="006477F3" w:rsidP="006477F3">
      <w:pPr>
        <w:jc w:val="both"/>
        <w:rPr>
          <w:rFonts w:asciiTheme="majorHAnsi" w:hAnsiTheme="majorHAnsi" w:cstheme="majorHAnsi"/>
        </w:rPr>
      </w:pPr>
    </w:p>
    <w:p w14:paraId="674A781B" w14:textId="77777777" w:rsidR="006477F3" w:rsidRPr="006477F3" w:rsidRDefault="006477F3" w:rsidP="006477F3">
      <w:pPr>
        <w:jc w:val="both"/>
        <w:rPr>
          <w:rFonts w:asciiTheme="majorHAnsi" w:hAnsiTheme="majorHAnsi" w:cstheme="majorHAnsi"/>
        </w:rPr>
      </w:pPr>
      <w:r w:rsidRPr="006477F3">
        <w:rPr>
          <w:rFonts w:asciiTheme="majorHAnsi" w:hAnsiTheme="majorHAnsi" w:cstheme="majorHAnsi"/>
        </w:rPr>
        <w:t>Si precisa, altresì, che l’offerta tecnica – ivi compresi gli allegati – è sottoscritta digitalmente:</w:t>
      </w:r>
    </w:p>
    <w:p w14:paraId="2EEE94E0" w14:textId="49E3F278" w:rsidR="006477F3" w:rsidRPr="006477F3" w:rsidRDefault="006477F3" w:rsidP="0069424C">
      <w:pPr>
        <w:pStyle w:val="Paragrafoelenco"/>
        <w:numPr>
          <w:ilvl w:val="0"/>
          <w:numId w:val="36"/>
        </w:numPr>
        <w:jc w:val="both"/>
        <w:rPr>
          <w:rFonts w:asciiTheme="majorHAnsi" w:hAnsiTheme="majorHAnsi" w:cstheme="majorHAnsi"/>
        </w:rPr>
      </w:pPr>
      <w:r w:rsidRPr="006477F3">
        <w:rPr>
          <w:rFonts w:asciiTheme="majorHAnsi" w:hAnsiTheme="majorHAnsi" w:cstheme="majorHAnsi"/>
        </w:rPr>
        <w:t>nel caso di raggruppamento temporaneo o consorzio ordinario costituiti, dalla mandataria/capofila.</w:t>
      </w:r>
    </w:p>
    <w:p w14:paraId="11D232E3" w14:textId="63DF9F03" w:rsidR="006477F3" w:rsidRPr="006477F3" w:rsidRDefault="006477F3" w:rsidP="0069424C">
      <w:pPr>
        <w:pStyle w:val="Paragrafoelenco"/>
        <w:numPr>
          <w:ilvl w:val="0"/>
          <w:numId w:val="36"/>
        </w:numPr>
        <w:jc w:val="both"/>
        <w:rPr>
          <w:rFonts w:asciiTheme="majorHAnsi" w:hAnsiTheme="majorHAnsi" w:cstheme="majorHAnsi"/>
        </w:rPr>
      </w:pPr>
      <w:r w:rsidRPr="006477F3">
        <w:rPr>
          <w:rFonts w:asciiTheme="majorHAnsi" w:hAnsiTheme="majorHAnsi" w:cstheme="majorHAnsi"/>
        </w:rPr>
        <w:t>nel caso di raggruppamento temporaneo o consorzio ordinario non ancora costituiti, da tutti i soggetti che costituiranno il raggruppamento o consorzio.</w:t>
      </w:r>
    </w:p>
    <w:p w14:paraId="47F6FC51" w14:textId="0FFE4433" w:rsidR="006477F3" w:rsidRPr="006477F3" w:rsidRDefault="006477F3" w:rsidP="0069424C">
      <w:pPr>
        <w:pStyle w:val="Paragrafoelenco"/>
        <w:numPr>
          <w:ilvl w:val="0"/>
          <w:numId w:val="36"/>
        </w:numPr>
        <w:jc w:val="both"/>
        <w:rPr>
          <w:rFonts w:asciiTheme="majorHAnsi" w:hAnsiTheme="majorHAnsi" w:cstheme="majorHAnsi"/>
        </w:rPr>
      </w:pPr>
      <w:r w:rsidRPr="006477F3">
        <w:rPr>
          <w:rFonts w:asciiTheme="majorHAnsi" w:hAnsiTheme="majorHAnsi" w:cstheme="majorHAnsi"/>
        </w:rPr>
        <w:t>nel caso di aggregazioni di imprese aderenti al contratto di rete si fa riferimento alla disciplina prevista per i raggruppamenti temporanei di imprese, in quanto compatibile. In particolare:</w:t>
      </w:r>
    </w:p>
    <w:p w14:paraId="693A7EB3" w14:textId="6E956C10" w:rsidR="006477F3" w:rsidRPr="006477F3" w:rsidRDefault="006477F3" w:rsidP="0069424C">
      <w:pPr>
        <w:pStyle w:val="Paragrafoelenco"/>
        <w:numPr>
          <w:ilvl w:val="1"/>
          <w:numId w:val="37"/>
        </w:numPr>
        <w:jc w:val="both"/>
        <w:rPr>
          <w:rFonts w:asciiTheme="majorHAnsi" w:hAnsiTheme="majorHAnsi" w:cstheme="majorHAnsi"/>
        </w:rPr>
      </w:pPr>
      <w:r w:rsidRPr="006477F3">
        <w:rPr>
          <w:rFonts w:asciiTheme="majorHAnsi" w:hAnsiTheme="majorHAnsi" w:cstheme="majorHAnsi"/>
          <w:b/>
          <w:bCs/>
        </w:rPr>
        <w:t>se la rete è dotata di un organo comune con potere di rappresentanza e con soggettività giuridica</w:t>
      </w:r>
      <w:r w:rsidRPr="006477F3">
        <w:rPr>
          <w:rFonts w:asciiTheme="majorHAnsi" w:hAnsiTheme="majorHAnsi" w:cstheme="majorHAnsi"/>
        </w:rPr>
        <w:t>, ai sensi dell’art. 3, comma 4-quater, del d.l. 10 febbraio 2009, n. 5, l’offerta tecnica deve essere sottoscritta dal solo operatore economico che riveste la funzione di organo comune;</w:t>
      </w:r>
    </w:p>
    <w:p w14:paraId="041B799D" w14:textId="4C3E26BA" w:rsidR="006477F3" w:rsidRPr="006477F3" w:rsidRDefault="006477F3" w:rsidP="0069424C">
      <w:pPr>
        <w:pStyle w:val="Paragrafoelenco"/>
        <w:numPr>
          <w:ilvl w:val="1"/>
          <w:numId w:val="37"/>
        </w:numPr>
        <w:jc w:val="both"/>
        <w:rPr>
          <w:rFonts w:asciiTheme="majorHAnsi" w:hAnsiTheme="majorHAnsi" w:cstheme="majorHAnsi"/>
        </w:rPr>
      </w:pPr>
      <w:r w:rsidRPr="006477F3">
        <w:rPr>
          <w:rFonts w:asciiTheme="majorHAnsi" w:hAnsiTheme="majorHAnsi" w:cstheme="majorHAnsi"/>
          <w:b/>
          <w:bCs/>
        </w:rPr>
        <w:t>se la rete è dotata di un organo comune con potere di rappresentanza ma è priva di soggettività giuridica</w:t>
      </w:r>
      <w:r w:rsidRPr="006477F3">
        <w:rPr>
          <w:rFonts w:asciiTheme="majorHAnsi" w:hAnsiTheme="majorHAnsi" w:cstheme="majorHAnsi"/>
        </w:rPr>
        <w:t>, ai sensi dell’art. 3, comma 4-quater, del d.l. 10 febbraio 2009, n. 5, l’offerta tecnica deve essere sottoscritta dall’impresa che riveste le funzioni di organo comune nonché da ognuna delle imprese aderenti al contratto di rete che partecipano alla gara;</w:t>
      </w:r>
    </w:p>
    <w:p w14:paraId="2D1534AF" w14:textId="413087D0" w:rsidR="006477F3" w:rsidRPr="006477F3" w:rsidRDefault="006477F3" w:rsidP="0069424C">
      <w:pPr>
        <w:pStyle w:val="Paragrafoelenco"/>
        <w:numPr>
          <w:ilvl w:val="1"/>
          <w:numId w:val="37"/>
        </w:numPr>
        <w:jc w:val="both"/>
        <w:rPr>
          <w:rFonts w:asciiTheme="majorHAnsi" w:hAnsiTheme="majorHAnsi" w:cstheme="majorHAnsi"/>
        </w:rPr>
      </w:pPr>
      <w:r w:rsidRPr="006477F3">
        <w:rPr>
          <w:rFonts w:asciiTheme="majorHAnsi" w:hAnsiTheme="majorHAnsi" w:cstheme="majorHAnsi"/>
          <w:b/>
          <w:bCs/>
        </w:rPr>
        <w:lastRenderedPageBreak/>
        <w:t>se la rete è dotata di un organo comune privo del potere di rappresentanza o se la rete è sprovvista di organo comune, oppure se l’organo comune è privo dei requisiti di qualificazione richiesti per assumere la veste di mandataria</w:t>
      </w:r>
      <w:r w:rsidRPr="006477F3">
        <w:rPr>
          <w:rFonts w:asciiTheme="majorHAnsi" w:hAnsiTheme="majorHAnsi" w:cstheme="majorHAnsi"/>
        </w:rPr>
        <w:t>, l’offerta tecnica deve essere sottoscritta dall’impresa aderente alla rete che riveste la qualifica di mandataria, ovvero, in caso di partecipazione nelle forme del raggruppamento da costituirsi, da ognuna delle imprese aderenti al contratto di rete che partecipa alla gara.</w:t>
      </w:r>
    </w:p>
    <w:p w14:paraId="2192DD57" w14:textId="1D7AEBBD" w:rsidR="006477F3" w:rsidRPr="0076499B" w:rsidRDefault="006477F3" w:rsidP="0069424C">
      <w:pPr>
        <w:pStyle w:val="Paragrafoelenco"/>
        <w:numPr>
          <w:ilvl w:val="0"/>
          <w:numId w:val="38"/>
        </w:numPr>
        <w:jc w:val="both"/>
        <w:rPr>
          <w:rFonts w:asciiTheme="majorHAnsi" w:hAnsiTheme="majorHAnsi" w:cstheme="majorHAnsi"/>
        </w:rPr>
      </w:pPr>
      <w:r w:rsidRPr="0076499B">
        <w:rPr>
          <w:rFonts w:asciiTheme="majorHAnsi" w:hAnsiTheme="majorHAnsi" w:cstheme="majorHAnsi"/>
        </w:rPr>
        <w:t>nel caso di consorzio di cooperative e imprese artigiane o di consorzio stabile di cui all’art. 65, comma 2 lett. b), c) e d) del Codice, l’offerta tecnica è sottoscritta dal consorzio medesimo.</w:t>
      </w:r>
    </w:p>
    <w:p w14:paraId="1A421C30" w14:textId="493808E3" w:rsidR="006477F3" w:rsidRDefault="006477F3" w:rsidP="0069424C">
      <w:pPr>
        <w:pStyle w:val="Paragrafoelenco"/>
        <w:numPr>
          <w:ilvl w:val="0"/>
          <w:numId w:val="38"/>
        </w:numPr>
        <w:jc w:val="both"/>
        <w:rPr>
          <w:rFonts w:asciiTheme="majorHAnsi" w:hAnsiTheme="majorHAnsi" w:cstheme="majorHAnsi"/>
        </w:rPr>
      </w:pPr>
      <w:r w:rsidRPr="0076499B">
        <w:rPr>
          <w:rFonts w:asciiTheme="majorHAnsi" w:hAnsiTheme="majorHAnsi" w:cstheme="majorHAnsi"/>
        </w:rPr>
        <w:t>in caso di GEIE ai sensi dell’articolo 65 comma 2 lett. h) del Codice: trova applicazione la disciplina prevista per le ATI per quanto compatibile.</w:t>
      </w:r>
    </w:p>
    <w:p w14:paraId="443B6186" w14:textId="77777777" w:rsidR="0076499B" w:rsidRPr="0076499B" w:rsidRDefault="0076499B" w:rsidP="0076499B">
      <w:pPr>
        <w:pStyle w:val="Paragrafoelenco"/>
        <w:jc w:val="both"/>
        <w:rPr>
          <w:rFonts w:asciiTheme="majorHAnsi" w:hAnsiTheme="majorHAnsi" w:cstheme="majorHAnsi"/>
        </w:rPr>
      </w:pPr>
    </w:p>
    <w:p w14:paraId="3F2DA8CA" w14:textId="75401F26" w:rsidR="006477F3" w:rsidRPr="006477F3" w:rsidRDefault="006477F3" w:rsidP="006477F3">
      <w:pPr>
        <w:jc w:val="both"/>
        <w:rPr>
          <w:rFonts w:asciiTheme="majorHAnsi" w:hAnsiTheme="majorHAnsi" w:cstheme="majorHAnsi"/>
        </w:rPr>
      </w:pPr>
      <w:r w:rsidRPr="006477F3">
        <w:rPr>
          <w:rFonts w:asciiTheme="majorHAnsi" w:hAnsiTheme="majorHAnsi" w:cstheme="majorHAnsi"/>
        </w:rPr>
        <w:t>La documentazione, allegata all’offerta tecnica, deve essere sottoscritta digitalmente con le stesse modalità previste per l’offerta tecnica. Si invitano i concorrenti ad accorpare l’offerta tecnica ed i suoi allegati (ove previsti) in unico file pdf non compresso firmato digitalmente sempre nel limite di dimensione massima del singolo file caricabile sul Portale.</w:t>
      </w:r>
    </w:p>
    <w:p w14:paraId="091ABD4C" w14:textId="77777777" w:rsidR="006477F3" w:rsidRDefault="006477F3" w:rsidP="006477F3">
      <w:pPr>
        <w:jc w:val="both"/>
        <w:rPr>
          <w:rFonts w:asciiTheme="majorHAnsi" w:hAnsiTheme="majorHAnsi" w:cstheme="majorHAnsi"/>
        </w:rPr>
      </w:pPr>
    </w:p>
    <w:p w14:paraId="15786082" w14:textId="77777777" w:rsidR="0076499B" w:rsidRPr="0076499B" w:rsidRDefault="0076499B" w:rsidP="0076499B">
      <w:pPr>
        <w:jc w:val="both"/>
        <w:rPr>
          <w:rFonts w:asciiTheme="majorHAnsi" w:hAnsiTheme="majorHAnsi" w:cstheme="majorHAnsi"/>
          <w:b/>
          <w:bCs/>
        </w:rPr>
      </w:pPr>
      <w:r w:rsidRPr="0076499B">
        <w:rPr>
          <w:rFonts w:asciiTheme="majorHAnsi" w:hAnsiTheme="majorHAnsi" w:cstheme="majorHAnsi"/>
          <w:b/>
          <w:bCs/>
        </w:rPr>
        <w:t>17.</w:t>
      </w:r>
      <w:r w:rsidRPr="0076499B">
        <w:rPr>
          <w:rFonts w:asciiTheme="majorHAnsi" w:hAnsiTheme="majorHAnsi" w:cstheme="majorHAnsi"/>
          <w:b/>
          <w:bCs/>
        </w:rPr>
        <w:tab/>
        <w:t>OFFERTA ECONOMICA</w:t>
      </w:r>
    </w:p>
    <w:p w14:paraId="461B1C90" w14:textId="77777777" w:rsidR="0076499B" w:rsidRPr="0076499B" w:rsidRDefault="0076499B" w:rsidP="0076499B">
      <w:pPr>
        <w:jc w:val="both"/>
        <w:rPr>
          <w:rFonts w:asciiTheme="majorHAnsi" w:hAnsiTheme="majorHAnsi" w:cstheme="majorHAnsi"/>
        </w:rPr>
      </w:pPr>
      <w:r w:rsidRPr="0076499B">
        <w:rPr>
          <w:rFonts w:asciiTheme="majorHAnsi" w:hAnsiTheme="majorHAnsi" w:cstheme="majorHAnsi"/>
        </w:rPr>
        <w:t xml:space="preserve">Nell’ambito della sezione “Step 3 - Busta Economica”, l’operatore economico deve - </w:t>
      </w:r>
      <w:r w:rsidRPr="0076499B">
        <w:rPr>
          <w:rFonts w:asciiTheme="majorHAnsi" w:hAnsiTheme="majorHAnsi" w:cstheme="majorHAnsi"/>
          <w:b/>
          <w:bCs/>
        </w:rPr>
        <w:t>a pena di esclusione</w:t>
      </w:r>
      <w:r w:rsidRPr="0076499B">
        <w:rPr>
          <w:rFonts w:asciiTheme="majorHAnsi" w:hAnsiTheme="majorHAnsi" w:cstheme="majorHAnsi"/>
        </w:rPr>
        <w:t xml:space="preserve"> – compilare i campi obbligatori presenti a video tenuto conto del funzionamento della Piattaforma SINTEL e, in particolare, l’operatore deve indicare:</w:t>
      </w:r>
    </w:p>
    <w:p w14:paraId="1923A924" w14:textId="77777777" w:rsidR="0076499B" w:rsidRPr="0076499B" w:rsidRDefault="0076499B" w:rsidP="0076499B">
      <w:pPr>
        <w:jc w:val="both"/>
        <w:rPr>
          <w:rFonts w:asciiTheme="majorHAnsi" w:hAnsiTheme="majorHAnsi" w:cstheme="majorHAnsi"/>
        </w:rPr>
      </w:pPr>
    </w:p>
    <w:p w14:paraId="081C81FA" w14:textId="77777777" w:rsidR="0076499B" w:rsidRPr="0076499B" w:rsidRDefault="0076499B" w:rsidP="0076499B">
      <w:pPr>
        <w:ind w:left="705" w:hanging="705"/>
        <w:jc w:val="both"/>
        <w:rPr>
          <w:rFonts w:asciiTheme="majorHAnsi" w:hAnsiTheme="majorHAnsi" w:cstheme="majorHAnsi"/>
        </w:rPr>
      </w:pPr>
      <w:r w:rsidRPr="0076499B">
        <w:rPr>
          <w:rFonts w:asciiTheme="majorHAnsi" w:hAnsiTheme="majorHAnsi" w:cstheme="majorHAnsi"/>
        </w:rPr>
        <w:t>1)</w:t>
      </w:r>
      <w:r w:rsidRPr="0076499B">
        <w:rPr>
          <w:rFonts w:asciiTheme="majorHAnsi" w:hAnsiTheme="majorHAnsi" w:cstheme="majorHAnsi"/>
        </w:rPr>
        <w:tab/>
      </w:r>
      <w:r w:rsidRPr="0076499B">
        <w:rPr>
          <w:rFonts w:asciiTheme="majorHAnsi" w:hAnsiTheme="majorHAnsi" w:cstheme="majorHAnsi"/>
          <w:b/>
          <w:bCs/>
        </w:rPr>
        <w:t>compilare</w:t>
      </w:r>
      <w:r w:rsidRPr="0076499B">
        <w:rPr>
          <w:rFonts w:asciiTheme="majorHAnsi" w:hAnsiTheme="majorHAnsi" w:cstheme="majorHAnsi"/>
        </w:rPr>
        <w:t xml:space="preserve"> l’apposito campo denominato </w:t>
      </w:r>
      <w:r w:rsidRPr="0076499B">
        <w:rPr>
          <w:rFonts w:asciiTheme="majorHAnsi" w:hAnsiTheme="majorHAnsi" w:cstheme="majorHAnsi"/>
          <w:b/>
          <w:bCs/>
        </w:rPr>
        <w:t>COSTO DELLA MANODOPERA</w:t>
      </w:r>
      <w:r w:rsidRPr="0076499B">
        <w:rPr>
          <w:rFonts w:asciiTheme="majorHAnsi" w:hAnsiTheme="majorHAnsi" w:cstheme="majorHAnsi"/>
        </w:rPr>
        <w:t>, inserendo, la stima dei costi della manodopera, ai sensi dell’art.108, comma 9 del Codice espressi in euro.</w:t>
      </w:r>
    </w:p>
    <w:p w14:paraId="1A115EEB" w14:textId="4434C96D" w:rsidR="0076499B" w:rsidRDefault="0076499B" w:rsidP="0076499B">
      <w:pPr>
        <w:ind w:left="708"/>
        <w:jc w:val="both"/>
        <w:rPr>
          <w:rFonts w:asciiTheme="majorHAnsi" w:hAnsiTheme="majorHAnsi" w:cstheme="majorHAnsi"/>
        </w:rPr>
      </w:pPr>
      <w:r w:rsidRPr="0076499B">
        <w:rPr>
          <w:rFonts w:asciiTheme="majorHAnsi" w:hAnsiTheme="majorHAnsi" w:cstheme="majorHAnsi"/>
        </w:rPr>
        <w:t>Ai sensi dell’art. 41 comma 14 del Codice i costi della manodopera indicati al paragrafo 3 non sono ribassabili. Resta la possibilità per l’operatore economico di dimostrare che il ribasso complessivo dell’importo deriva da una più efficiente organizzazione aziendale o da sgravi contributivi che non comportano penalizzazioni per la manodopera.</w:t>
      </w:r>
    </w:p>
    <w:p w14:paraId="0B89B321" w14:textId="77777777" w:rsidR="0076499B" w:rsidRPr="0076499B" w:rsidRDefault="0076499B" w:rsidP="0076499B">
      <w:pPr>
        <w:ind w:firstLine="708"/>
        <w:jc w:val="both"/>
        <w:rPr>
          <w:rFonts w:asciiTheme="majorHAnsi" w:hAnsiTheme="majorHAnsi" w:cstheme="majorHAnsi"/>
        </w:rPr>
      </w:pPr>
    </w:p>
    <w:p w14:paraId="27731B57" w14:textId="77777777" w:rsidR="0076499B" w:rsidRPr="0076499B" w:rsidRDefault="0076499B" w:rsidP="0076499B">
      <w:pPr>
        <w:jc w:val="both"/>
        <w:rPr>
          <w:rFonts w:asciiTheme="majorHAnsi" w:hAnsiTheme="majorHAnsi" w:cstheme="majorHAnsi"/>
        </w:rPr>
      </w:pPr>
      <w:r w:rsidRPr="0076499B">
        <w:rPr>
          <w:rFonts w:asciiTheme="majorHAnsi" w:hAnsiTheme="majorHAnsi" w:cstheme="majorHAnsi"/>
        </w:rPr>
        <w:t>2)</w:t>
      </w:r>
      <w:r w:rsidRPr="0076499B">
        <w:rPr>
          <w:rFonts w:asciiTheme="majorHAnsi" w:hAnsiTheme="majorHAnsi" w:cstheme="majorHAnsi"/>
        </w:rPr>
        <w:tab/>
      </w:r>
      <w:r w:rsidRPr="0076499B">
        <w:rPr>
          <w:rFonts w:asciiTheme="majorHAnsi" w:hAnsiTheme="majorHAnsi" w:cstheme="majorHAnsi"/>
          <w:b/>
          <w:bCs/>
        </w:rPr>
        <w:t>compilare</w:t>
      </w:r>
      <w:r w:rsidRPr="0076499B">
        <w:rPr>
          <w:rFonts w:asciiTheme="majorHAnsi" w:hAnsiTheme="majorHAnsi" w:cstheme="majorHAnsi"/>
        </w:rPr>
        <w:t xml:space="preserve"> l’apposito campo denominato OFFERTA ECONOMICA, inserendo:</w:t>
      </w:r>
    </w:p>
    <w:p w14:paraId="05EC9467" w14:textId="6037D710" w:rsidR="0076499B" w:rsidRPr="0076499B" w:rsidRDefault="0076499B" w:rsidP="0069424C">
      <w:pPr>
        <w:pStyle w:val="Paragrafoelenco"/>
        <w:numPr>
          <w:ilvl w:val="0"/>
          <w:numId w:val="39"/>
        </w:numPr>
        <w:jc w:val="both"/>
        <w:rPr>
          <w:rFonts w:asciiTheme="majorHAnsi" w:hAnsiTheme="majorHAnsi" w:cstheme="majorHAnsi"/>
        </w:rPr>
      </w:pPr>
      <w:r w:rsidRPr="0076499B">
        <w:rPr>
          <w:rFonts w:asciiTheme="majorHAnsi" w:hAnsiTheme="majorHAnsi" w:cstheme="majorHAnsi"/>
        </w:rPr>
        <w:t xml:space="preserve">il </w:t>
      </w:r>
      <w:r w:rsidRPr="0076499B">
        <w:rPr>
          <w:rFonts w:asciiTheme="majorHAnsi" w:hAnsiTheme="majorHAnsi" w:cstheme="majorHAnsi"/>
          <w:b/>
          <w:bCs/>
        </w:rPr>
        <w:t>ribasso percentuale</w:t>
      </w:r>
      <w:r w:rsidRPr="0076499B">
        <w:rPr>
          <w:rFonts w:asciiTheme="majorHAnsi" w:hAnsiTheme="majorHAnsi" w:cstheme="majorHAnsi"/>
        </w:rPr>
        <w:t xml:space="preserve"> unico da applicare sull’importo soggetto a ribasso, espresso con un massimo di </w:t>
      </w:r>
      <w:r w:rsidR="009D115E">
        <w:rPr>
          <w:rFonts w:asciiTheme="majorHAnsi" w:hAnsiTheme="majorHAnsi" w:cstheme="majorHAnsi"/>
        </w:rPr>
        <w:t>due</w:t>
      </w:r>
      <w:r w:rsidRPr="0076499B">
        <w:rPr>
          <w:rFonts w:asciiTheme="majorHAnsi" w:hAnsiTheme="majorHAnsi" w:cstheme="majorHAnsi"/>
        </w:rPr>
        <w:t xml:space="preserve"> cifre decimali.</w:t>
      </w:r>
    </w:p>
    <w:p w14:paraId="6005E4F2" w14:textId="046F9BC5" w:rsidR="0076499B" w:rsidRPr="0076499B" w:rsidRDefault="0076499B" w:rsidP="0069424C">
      <w:pPr>
        <w:pStyle w:val="Paragrafoelenco"/>
        <w:numPr>
          <w:ilvl w:val="0"/>
          <w:numId w:val="39"/>
        </w:numPr>
        <w:jc w:val="both"/>
        <w:rPr>
          <w:rFonts w:asciiTheme="majorHAnsi" w:hAnsiTheme="majorHAnsi" w:cstheme="majorHAnsi"/>
        </w:rPr>
      </w:pPr>
      <w:r w:rsidRPr="0076499B">
        <w:rPr>
          <w:rFonts w:asciiTheme="majorHAnsi" w:hAnsiTheme="majorHAnsi" w:cstheme="majorHAnsi"/>
        </w:rPr>
        <w:t xml:space="preserve">la </w:t>
      </w:r>
      <w:r w:rsidRPr="0076499B">
        <w:rPr>
          <w:rFonts w:asciiTheme="majorHAnsi" w:hAnsiTheme="majorHAnsi" w:cstheme="majorHAnsi"/>
          <w:b/>
          <w:bCs/>
        </w:rPr>
        <w:t>stima dei costi aziendali</w:t>
      </w:r>
      <w:r w:rsidRPr="0076499B">
        <w:rPr>
          <w:rFonts w:asciiTheme="majorHAnsi" w:hAnsiTheme="majorHAnsi" w:cstheme="majorHAnsi"/>
        </w:rPr>
        <w:t xml:space="preserve"> relativi alla salute ed alla sicurezza sui luoghi di lavoro di cui all’art.108, comma 9 del Codice espressi in </w:t>
      </w:r>
      <w:proofErr w:type="gramStart"/>
      <w:r w:rsidRPr="0076499B">
        <w:rPr>
          <w:rFonts w:asciiTheme="majorHAnsi" w:hAnsiTheme="majorHAnsi" w:cstheme="majorHAnsi"/>
        </w:rPr>
        <w:t>euro;</w:t>
      </w:r>
      <w:proofErr w:type="gramEnd"/>
      <w:r w:rsidRPr="0076499B">
        <w:rPr>
          <w:rFonts w:asciiTheme="majorHAnsi" w:hAnsiTheme="majorHAnsi" w:cstheme="majorHAnsi"/>
        </w:rPr>
        <w:t xml:space="preserve"> (in Piattaforma: i costi della sicurezza afferenti </w:t>
      </w:r>
      <w:proofErr w:type="gramStart"/>
      <w:r w:rsidRPr="0076499B">
        <w:rPr>
          <w:rFonts w:asciiTheme="majorHAnsi" w:hAnsiTheme="majorHAnsi" w:cstheme="majorHAnsi"/>
        </w:rPr>
        <w:t>l’attività</w:t>
      </w:r>
      <w:proofErr w:type="gramEnd"/>
      <w:r w:rsidRPr="0076499B">
        <w:rPr>
          <w:rFonts w:asciiTheme="majorHAnsi" w:hAnsiTheme="majorHAnsi" w:cstheme="majorHAnsi"/>
        </w:rPr>
        <w:t xml:space="preserve"> svolta dall’operatore economico). Detti costi relativi alla sicurezza connessi con l’attività d’impresa dovranno risultare congrui rispetto all’entità e le caratteristiche delle prestazioni oggetto dell’appalto;</w:t>
      </w:r>
    </w:p>
    <w:p w14:paraId="5D2CF439" w14:textId="5CEC74AF" w:rsidR="0076499B" w:rsidRDefault="0076499B" w:rsidP="0069424C">
      <w:pPr>
        <w:pStyle w:val="Paragrafoelenco"/>
        <w:numPr>
          <w:ilvl w:val="0"/>
          <w:numId w:val="39"/>
        </w:numPr>
        <w:jc w:val="both"/>
        <w:rPr>
          <w:rFonts w:asciiTheme="majorHAnsi" w:hAnsiTheme="majorHAnsi" w:cstheme="majorHAnsi"/>
        </w:rPr>
      </w:pPr>
      <w:r w:rsidRPr="0076499B">
        <w:rPr>
          <w:rFonts w:asciiTheme="majorHAnsi" w:hAnsiTheme="majorHAnsi" w:cstheme="majorHAnsi"/>
        </w:rPr>
        <w:t xml:space="preserve">gli oneri per la sicurezza dovuti a rischi da interferenze non soggetti a ribasso, per la procedura in oggetto stimati in </w:t>
      </w:r>
      <w:r w:rsidRPr="0076499B">
        <w:rPr>
          <w:rFonts w:asciiTheme="majorHAnsi" w:hAnsiTheme="majorHAnsi" w:cstheme="majorHAnsi"/>
          <w:b/>
          <w:bCs/>
        </w:rPr>
        <w:t>euro 00,00</w:t>
      </w:r>
      <w:r w:rsidRPr="0076499B">
        <w:rPr>
          <w:rFonts w:asciiTheme="majorHAnsi" w:hAnsiTheme="majorHAnsi" w:cstheme="majorHAnsi"/>
        </w:rPr>
        <w:t xml:space="preserve"> (in Piattaforma: i costi della sicurezza derivanti da interferenza).</w:t>
      </w:r>
    </w:p>
    <w:p w14:paraId="641DF95E" w14:textId="77777777" w:rsidR="0076499B" w:rsidRPr="0076499B" w:rsidRDefault="0076499B" w:rsidP="0076499B">
      <w:pPr>
        <w:pStyle w:val="Paragrafoelenco"/>
        <w:jc w:val="both"/>
        <w:rPr>
          <w:rFonts w:asciiTheme="majorHAnsi" w:hAnsiTheme="majorHAnsi" w:cstheme="majorHAnsi"/>
        </w:rPr>
      </w:pPr>
    </w:p>
    <w:p w14:paraId="20A22685" w14:textId="644F2F7F" w:rsidR="0076499B" w:rsidRPr="0076499B" w:rsidRDefault="0076499B" w:rsidP="0076499B">
      <w:pPr>
        <w:ind w:left="709" w:hanging="709"/>
        <w:jc w:val="both"/>
        <w:rPr>
          <w:rFonts w:asciiTheme="majorHAnsi" w:hAnsiTheme="majorHAnsi" w:cstheme="majorHAnsi"/>
        </w:rPr>
      </w:pPr>
      <w:r w:rsidRPr="0076499B">
        <w:rPr>
          <w:rFonts w:asciiTheme="majorHAnsi" w:hAnsiTheme="majorHAnsi" w:cstheme="majorHAnsi"/>
        </w:rPr>
        <w:t>3)</w:t>
      </w:r>
      <w:r>
        <w:rPr>
          <w:rFonts w:asciiTheme="majorHAnsi" w:hAnsiTheme="majorHAnsi" w:cstheme="majorHAnsi"/>
          <w:b/>
          <w:bCs/>
        </w:rPr>
        <w:tab/>
      </w:r>
      <w:r w:rsidRPr="0076499B">
        <w:rPr>
          <w:rFonts w:asciiTheme="majorHAnsi" w:hAnsiTheme="majorHAnsi" w:cstheme="majorHAnsi"/>
          <w:b/>
          <w:bCs/>
        </w:rPr>
        <w:t>allegare</w:t>
      </w:r>
      <w:r w:rsidRPr="0076499B">
        <w:rPr>
          <w:rFonts w:asciiTheme="majorHAnsi" w:hAnsiTheme="majorHAnsi" w:cstheme="majorHAnsi"/>
        </w:rPr>
        <w:t xml:space="preserve"> in caso di indicazione di un CCNL differente da quello indicato negli atti di gara, a fini acceleratori, la documentazione probatoria sull’equivalenza delle tutele del CCNL indicato in gara, redatta preferibilmente secondo il modello allegato.</w:t>
      </w:r>
    </w:p>
    <w:p w14:paraId="24347BDF" w14:textId="77777777" w:rsidR="0076499B" w:rsidRPr="0076499B" w:rsidRDefault="0076499B" w:rsidP="0076499B">
      <w:pPr>
        <w:ind w:left="360" w:hanging="360"/>
      </w:pPr>
    </w:p>
    <w:p w14:paraId="07AC80CE" w14:textId="77777777" w:rsidR="0076499B" w:rsidRDefault="0076499B" w:rsidP="0076499B">
      <w:pPr>
        <w:jc w:val="both"/>
        <w:rPr>
          <w:rFonts w:asciiTheme="majorHAnsi" w:hAnsiTheme="majorHAnsi" w:cstheme="majorHAnsi"/>
        </w:rPr>
      </w:pPr>
      <w:r w:rsidRPr="0076499B">
        <w:rPr>
          <w:rFonts w:asciiTheme="majorHAnsi" w:hAnsiTheme="majorHAnsi" w:cstheme="majorHAnsi"/>
        </w:rPr>
        <w:lastRenderedPageBreak/>
        <w:t>L’offerta economica e/o il documento d’offerta, completa di tutti i dati sopra previsti, nonché - se previsti – gli ulteriori file allegati devono essere sottoscritti digitalmente dal legale rappresentante dell’operatore economico. Qualora l’offerta economica – ivi compresi gli allegati – sia firmata da procuratore speciale è necessario produrre, nell’ambito della documentazione amministrativa, una dichiarazione sottoscritta digitalmente in cui si attesti tale qualità, indicando gli estremi completi della procura che conferisce i necessari poteri. In caso di società amministrate da più coamministratori con firma congiunta, l’offerta economica – ivi compresi gli allegati – va sottoscritta digitalmente da tutti i coamministratori a firma congiunta.</w:t>
      </w:r>
    </w:p>
    <w:p w14:paraId="03C6220B" w14:textId="77777777" w:rsidR="0076499B" w:rsidRPr="0076499B" w:rsidRDefault="0076499B" w:rsidP="0076499B">
      <w:pPr>
        <w:jc w:val="both"/>
        <w:rPr>
          <w:rFonts w:asciiTheme="majorHAnsi" w:hAnsiTheme="majorHAnsi" w:cstheme="majorHAnsi"/>
        </w:rPr>
      </w:pPr>
    </w:p>
    <w:p w14:paraId="7FD6130F" w14:textId="77777777" w:rsidR="0076499B" w:rsidRPr="0076499B" w:rsidRDefault="0076499B" w:rsidP="0076499B">
      <w:pPr>
        <w:jc w:val="both"/>
        <w:rPr>
          <w:rFonts w:asciiTheme="majorHAnsi" w:hAnsiTheme="majorHAnsi" w:cstheme="majorHAnsi"/>
        </w:rPr>
      </w:pPr>
      <w:r w:rsidRPr="0076499B">
        <w:rPr>
          <w:rFonts w:asciiTheme="majorHAnsi" w:hAnsiTheme="majorHAnsi" w:cstheme="majorHAnsi"/>
        </w:rPr>
        <w:t>Si precisa, altresì, che l’offerta economica - ivi compresi gli allegati - è sottoscritta digitalmente:</w:t>
      </w:r>
    </w:p>
    <w:p w14:paraId="52A61771" w14:textId="77777777" w:rsidR="0076499B" w:rsidRPr="0076499B" w:rsidRDefault="0076499B" w:rsidP="0076499B">
      <w:pPr>
        <w:ind w:left="705" w:hanging="705"/>
        <w:jc w:val="both"/>
        <w:rPr>
          <w:rFonts w:asciiTheme="majorHAnsi" w:hAnsiTheme="majorHAnsi" w:cstheme="majorHAnsi"/>
        </w:rPr>
      </w:pPr>
      <w:r w:rsidRPr="0076499B">
        <w:rPr>
          <w:rFonts w:asciiTheme="majorHAnsi" w:hAnsiTheme="majorHAnsi" w:cstheme="majorHAnsi"/>
        </w:rPr>
        <w:t></w:t>
      </w:r>
      <w:r w:rsidRPr="0076499B">
        <w:rPr>
          <w:rFonts w:asciiTheme="majorHAnsi" w:hAnsiTheme="majorHAnsi" w:cstheme="majorHAnsi"/>
        </w:rPr>
        <w:tab/>
        <w:t>nel caso di raggruppamento temporaneo o consorzio ordinario costituiti, dalla mandataria/capofila.</w:t>
      </w:r>
    </w:p>
    <w:p w14:paraId="48DE2098" w14:textId="77777777" w:rsidR="0076499B" w:rsidRPr="0076499B" w:rsidRDefault="0076499B" w:rsidP="0076499B">
      <w:pPr>
        <w:ind w:left="705" w:hanging="705"/>
        <w:jc w:val="both"/>
        <w:rPr>
          <w:rFonts w:asciiTheme="majorHAnsi" w:hAnsiTheme="majorHAnsi" w:cstheme="majorHAnsi"/>
        </w:rPr>
      </w:pPr>
      <w:r w:rsidRPr="0076499B">
        <w:rPr>
          <w:rFonts w:asciiTheme="majorHAnsi" w:hAnsiTheme="majorHAnsi" w:cstheme="majorHAnsi"/>
        </w:rPr>
        <w:t></w:t>
      </w:r>
      <w:r w:rsidRPr="0076499B">
        <w:rPr>
          <w:rFonts w:asciiTheme="majorHAnsi" w:hAnsiTheme="majorHAnsi" w:cstheme="majorHAnsi"/>
        </w:rPr>
        <w:tab/>
        <w:t>nel caso di raggruppamento temporaneo o consorzio ordinario non ancora costituiti, da tutti i soggetti che costituiranno il raggruppamento o consorzio.</w:t>
      </w:r>
    </w:p>
    <w:p w14:paraId="0C953932" w14:textId="77777777" w:rsidR="0076499B" w:rsidRPr="0076499B" w:rsidRDefault="0076499B" w:rsidP="0076499B">
      <w:pPr>
        <w:ind w:left="705" w:hanging="705"/>
        <w:jc w:val="both"/>
        <w:rPr>
          <w:rFonts w:asciiTheme="majorHAnsi" w:hAnsiTheme="majorHAnsi" w:cstheme="majorHAnsi"/>
        </w:rPr>
      </w:pPr>
      <w:r w:rsidRPr="0076499B">
        <w:rPr>
          <w:rFonts w:asciiTheme="majorHAnsi" w:hAnsiTheme="majorHAnsi" w:cstheme="majorHAnsi"/>
        </w:rPr>
        <w:t></w:t>
      </w:r>
      <w:r w:rsidRPr="0076499B">
        <w:rPr>
          <w:rFonts w:asciiTheme="majorHAnsi" w:hAnsiTheme="majorHAnsi" w:cstheme="majorHAnsi"/>
        </w:rPr>
        <w:tab/>
        <w:t>nel caso di aggregazioni di imprese aderenti al contratto di rete si fa riferimento alla disciplina prevista per i raggruppamenti temporanei di imprese, in quanto compatibile. In particolare:</w:t>
      </w:r>
    </w:p>
    <w:p w14:paraId="025C4623" w14:textId="48698C22" w:rsidR="0076499B" w:rsidRPr="0076499B" w:rsidRDefault="0076499B" w:rsidP="0069424C">
      <w:pPr>
        <w:pStyle w:val="Paragrafoelenco"/>
        <w:numPr>
          <w:ilvl w:val="1"/>
          <w:numId w:val="40"/>
        </w:numPr>
        <w:jc w:val="both"/>
        <w:rPr>
          <w:rFonts w:asciiTheme="majorHAnsi" w:hAnsiTheme="majorHAnsi" w:cstheme="majorHAnsi"/>
        </w:rPr>
      </w:pPr>
      <w:r w:rsidRPr="0076499B">
        <w:rPr>
          <w:rFonts w:asciiTheme="majorHAnsi" w:hAnsiTheme="majorHAnsi" w:cstheme="majorHAnsi"/>
        </w:rPr>
        <w:t>se la rete è dotata di un organo comune con potere di rappresentanza e con soggettività giuridica, ai sensi dell’art. 3, comma 4-quater, del d.l. 10 febbraio 2009, n. 5, l’offerta economica deve essere sottoscritta dal solo operatore economico che riveste la funzione di organo comune;</w:t>
      </w:r>
    </w:p>
    <w:p w14:paraId="28FB539B" w14:textId="585BEC96" w:rsidR="0076499B" w:rsidRPr="0076499B" w:rsidRDefault="0076499B" w:rsidP="0069424C">
      <w:pPr>
        <w:pStyle w:val="Paragrafoelenco"/>
        <w:numPr>
          <w:ilvl w:val="1"/>
          <w:numId w:val="40"/>
        </w:numPr>
        <w:jc w:val="both"/>
        <w:rPr>
          <w:rFonts w:asciiTheme="majorHAnsi" w:hAnsiTheme="majorHAnsi" w:cstheme="majorHAnsi"/>
        </w:rPr>
      </w:pPr>
      <w:r w:rsidRPr="0076499B">
        <w:rPr>
          <w:rFonts w:asciiTheme="majorHAnsi" w:hAnsiTheme="majorHAnsi" w:cstheme="majorHAnsi"/>
        </w:rPr>
        <w:t>se la rete è dotata di un organo comune con potere di rappresentanza ma è priva di soggettività giuridica, ai sensi dell’art. 3, comma 4-quater, del d.l. 10 febbraio 2009, n. 5, l’offerta economica deve essere sottoscritta dall’impresa che riveste le funzioni di organo comune nonché da ognuna delle imprese aderenti al contratto di rete che partecipano alla gara;</w:t>
      </w:r>
    </w:p>
    <w:p w14:paraId="4CC31F34" w14:textId="7A65B587" w:rsidR="0076499B" w:rsidRPr="0076499B" w:rsidRDefault="0076499B" w:rsidP="0069424C">
      <w:pPr>
        <w:pStyle w:val="Paragrafoelenco"/>
        <w:numPr>
          <w:ilvl w:val="1"/>
          <w:numId w:val="40"/>
        </w:numPr>
        <w:jc w:val="both"/>
        <w:rPr>
          <w:rFonts w:asciiTheme="majorHAnsi" w:hAnsiTheme="majorHAnsi" w:cstheme="majorHAnsi"/>
        </w:rPr>
      </w:pPr>
      <w:r w:rsidRPr="0076499B">
        <w:rPr>
          <w:rFonts w:asciiTheme="majorHAnsi" w:hAnsiTheme="majorHAnsi" w:cstheme="majorHAnsi"/>
        </w:rPr>
        <w:t>se la rete è dotata di un organo comune privo del potere di rappresentanza o se la rete è sprovvista di organo comune, oppure se l’organo comune è privo dei requisiti di qualificazione richiesti per assumere la veste di mandataria, l’offerta economica deve essere sottoscritta dall’impresa aderente alla rete che riveste la qualifica di mandataria, ovvero, in caso di partecipazione nelle forme del raggruppamento da costituirsi, da ognuna delle imprese aderenti al contratto di rete che partecipa alla gara.</w:t>
      </w:r>
    </w:p>
    <w:p w14:paraId="7490D9B7" w14:textId="77777777" w:rsidR="0076499B" w:rsidRPr="0076499B" w:rsidRDefault="0076499B" w:rsidP="0076499B">
      <w:pPr>
        <w:ind w:left="705" w:hanging="705"/>
        <w:jc w:val="both"/>
        <w:rPr>
          <w:rFonts w:asciiTheme="majorHAnsi" w:hAnsiTheme="majorHAnsi" w:cstheme="majorHAnsi"/>
        </w:rPr>
      </w:pPr>
      <w:r w:rsidRPr="0076499B">
        <w:rPr>
          <w:rFonts w:asciiTheme="majorHAnsi" w:hAnsiTheme="majorHAnsi" w:cstheme="majorHAnsi"/>
        </w:rPr>
        <w:t></w:t>
      </w:r>
      <w:r w:rsidRPr="0076499B">
        <w:rPr>
          <w:rFonts w:asciiTheme="majorHAnsi" w:hAnsiTheme="majorHAnsi" w:cstheme="majorHAnsi"/>
        </w:rPr>
        <w:tab/>
        <w:t>nel caso di consorzio di cooperative e imprese artigiane o di consorzio stabile di cui all’art. 65 co.2 lett. b</w:t>
      </w:r>
      <w:proofErr w:type="gramStart"/>
      <w:r w:rsidRPr="0076499B">
        <w:rPr>
          <w:rFonts w:asciiTheme="majorHAnsi" w:hAnsiTheme="majorHAnsi" w:cstheme="majorHAnsi"/>
        </w:rPr>
        <w:t>) ,</w:t>
      </w:r>
      <w:proofErr w:type="gramEnd"/>
      <w:r w:rsidRPr="0076499B">
        <w:rPr>
          <w:rFonts w:asciiTheme="majorHAnsi" w:hAnsiTheme="majorHAnsi" w:cstheme="majorHAnsi"/>
        </w:rPr>
        <w:t xml:space="preserve"> c) e d) del Codice, l’offerta economica è sottoscritta dal consorzio medesimo.</w:t>
      </w:r>
    </w:p>
    <w:p w14:paraId="73FD3AC9" w14:textId="77777777" w:rsidR="0076499B" w:rsidRDefault="0076499B" w:rsidP="0076499B">
      <w:pPr>
        <w:ind w:left="705" w:hanging="705"/>
        <w:jc w:val="both"/>
        <w:rPr>
          <w:rFonts w:asciiTheme="majorHAnsi" w:hAnsiTheme="majorHAnsi" w:cstheme="majorHAnsi"/>
        </w:rPr>
      </w:pPr>
      <w:r w:rsidRPr="0076499B">
        <w:rPr>
          <w:rFonts w:asciiTheme="majorHAnsi" w:hAnsiTheme="majorHAnsi" w:cstheme="majorHAnsi"/>
        </w:rPr>
        <w:t></w:t>
      </w:r>
      <w:r w:rsidRPr="0076499B">
        <w:rPr>
          <w:rFonts w:asciiTheme="majorHAnsi" w:hAnsiTheme="majorHAnsi" w:cstheme="majorHAnsi"/>
        </w:rPr>
        <w:tab/>
        <w:t>in caso di GEIE ai sensi dell’articolo 65 comma 2 lett. h) del D.Lgs. n. 36/2023: trova applicazione la disciplina prevista per le ATI per quanto compatibile.</w:t>
      </w:r>
    </w:p>
    <w:p w14:paraId="49AC2877" w14:textId="77777777" w:rsidR="0076499B" w:rsidRPr="0076499B" w:rsidRDefault="0076499B" w:rsidP="0076499B">
      <w:pPr>
        <w:ind w:left="705" w:hanging="705"/>
        <w:jc w:val="both"/>
        <w:rPr>
          <w:rFonts w:asciiTheme="majorHAnsi" w:hAnsiTheme="majorHAnsi" w:cstheme="majorHAnsi"/>
        </w:rPr>
      </w:pPr>
    </w:p>
    <w:p w14:paraId="216821D6" w14:textId="54C53438" w:rsidR="0076499B" w:rsidRDefault="0076499B" w:rsidP="0076499B">
      <w:pPr>
        <w:jc w:val="both"/>
        <w:rPr>
          <w:rFonts w:asciiTheme="majorHAnsi" w:hAnsiTheme="majorHAnsi" w:cstheme="majorHAnsi"/>
        </w:rPr>
      </w:pPr>
      <w:r w:rsidRPr="0076499B">
        <w:rPr>
          <w:rFonts w:asciiTheme="majorHAnsi" w:hAnsiTheme="majorHAnsi" w:cstheme="majorHAnsi"/>
        </w:rPr>
        <w:t>Sono inammissibili le offerte economiche che superino l’importo / uno o più importi unitari a base d’asta.</w:t>
      </w:r>
    </w:p>
    <w:p w14:paraId="4B501151" w14:textId="77777777" w:rsidR="0076499B" w:rsidRDefault="0076499B" w:rsidP="0076499B">
      <w:pPr>
        <w:jc w:val="both"/>
        <w:rPr>
          <w:rFonts w:asciiTheme="majorHAnsi" w:hAnsiTheme="majorHAnsi" w:cstheme="majorHAnsi"/>
        </w:rPr>
      </w:pPr>
    </w:p>
    <w:p w14:paraId="54FF998F" w14:textId="164FB440" w:rsidR="0076499B" w:rsidRPr="0076499B" w:rsidRDefault="0076499B" w:rsidP="0076499B">
      <w:pPr>
        <w:jc w:val="both"/>
        <w:rPr>
          <w:rFonts w:asciiTheme="majorHAnsi" w:hAnsiTheme="majorHAnsi" w:cstheme="majorHAnsi"/>
        </w:rPr>
      </w:pPr>
      <w:r w:rsidRPr="00CB6FAD">
        <w:rPr>
          <w:rFonts w:asciiTheme="majorHAnsi" w:hAnsiTheme="majorHAnsi" w:cstheme="majorHAnsi"/>
          <w:b/>
          <w:bCs/>
        </w:rPr>
        <w:t>18</w:t>
      </w:r>
      <w:r w:rsidR="00CB6FAD" w:rsidRPr="00CB6FAD">
        <w:rPr>
          <w:rFonts w:asciiTheme="majorHAnsi" w:hAnsiTheme="majorHAnsi" w:cstheme="majorHAnsi"/>
          <w:b/>
          <w:bCs/>
        </w:rPr>
        <w:t>.</w:t>
      </w:r>
      <w:r w:rsidRPr="0076499B">
        <w:rPr>
          <w:rFonts w:asciiTheme="majorHAnsi" w:hAnsiTheme="majorHAnsi" w:cstheme="majorHAnsi"/>
        </w:rPr>
        <w:tab/>
      </w:r>
      <w:r w:rsidRPr="0076499B">
        <w:rPr>
          <w:rFonts w:asciiTheme="majorHAnsi" w:hAnsiTheme="majorHAnsi" w:cstheme="majorHAnsi"/>
          <w:b/>
          <w:bCs/>
        </w:rPr>
        <w:t>CRITERIO DI AGGIUDICAZIONE</w:t>
      </w:r>
    </w:p>
    <w:p w14:paraId="6CB2EE9E" w14:textId="77777777" w:rsidR="0076499B" w:rsidRPr="0076499B" w:rsidRDefault="0076499B" w:rsidP="0076499B">
      <w:pPr>
        <w:jc w:val="both"/>
        <w:rPr>
          <w:rFonts w:asciiTheme="majorHAnsi" w:hAnsiTheme="majorHAnsi" w:cstheme="majorHAnsi"/>
        </w:rPr>
      </w:pPr>
      <w:r w:rsidRPr="0076499B">
        <w:rPr>
          <w:rFonts w:asciiTheme="majorHAnsi" w:hAnsiTheme="majorHAnsi" w:cstheme="majorHAnsi"/>
        </w:rPr>
        <w:t>L’appalto è aggiudicato in base al criterio dell’offerta economicamente più vantaggiosa individuata sulla base del miglior rapporto qualità/prezzo, ai sensi dell’art.108, comma 1 del Codice.</w:t>
      </w:r>
    </w:p>
    <w:p w14:paraId="1651424F" w14:textId="27792447" w:rsidR="0076499B" w:rsidRDefault="0076499B" w:rsidP="0076499B">
      <w:pPr>
        <w:jc w:val="both"/>
        <w:rPr>
          <w:rFonts w:asciiTheme="majorHAnsi" w:hAnsiTheme="majorHAnsi" w:cstheme="majorHAnsi"/>
        </w:rPr>
      </w:pPr>
      <w:r w:rsidRPr="0076499B">
        <w:rPr>
          <w:rFonts w:asciiTheme="majorHAnsi" w:hAnsiTheme="majorHAnsi" w:cstheme="majorHAnsi"/>
        </w:rPr>
        <w:lastRenderedPageBreak/>
        <w:t>La valutazione dell’offerta tecnica e dell’offerta economica sarà effettuata in base ai seguenti punteggi</w:t>
      </w:r>
    </w:p>
    <w:tbl>
      <w:tblPr>
        <w:tblpPr w:leftFromText="141" w:rightFromText="141" w:vertAnchor="text" w:horzAnchor="margin" w:tblpY="210"/>
        <w:tblW w:w="902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4822"/>
        <w:gridCol w:w="4198"/>
      </w:tblGrid>
      <w:tr w:rsidR="00CB6FAD" w:rsidRPr="00CB6FAD" w14:paraId="21082AEE" w14:textId="77777777" w:rsidTr="00CB6FAD">
        <w:trPr>
          <w:trHeight w:val="309"/>
        </w:trPr>
        <w:tc>
          <w:tcPr>
            <w:tcW w:w="4822" w:type="dxa"/>
            <w:shd w:val="clear" w:color="auto" w:fill="F5EA01"/>
          </w:tcPr>
          <w:p w14:paraId="3B3F7ADA" w14:textId="77777777" w:rsidR="00CB6FAD" w:rsidRPr="00CB6FAD" w:rsidRDefault="00CB6FAD" w:rsidP="00CB6FAD">
            <w:pPr>
              <w:jc w:val="both"/>
              <w:rPr>
                <w:rFonts w:asciiTheme="majorHAnsi" w:hAnsiTheme="majorHAnsi" w:cstheme="majorHAnsi"/>
              </w:rPr>
            </w:pPr>
          </w:p>
        </w:tc>
        <w:tc>
          <w:tcPr>
            <w:tcW w:w="4198" w:type="dxa"/>
            <w:shd w:val="clear" w:color="auto" w:fill="F5EA01"/>
          </w:tcPr>
          <w:p w14:paraId="0D58C19C" w14:textId="77777777" w:rsidR="00CB6FAD" w:rsidRPr="00CB6FAD" w:rsidRDefault="00CB6FAD" w:rsidP="00CB6FAD">
            <w:pPr>
              <w:jc w:val="both"/>
              <w:rPr>
                <w:rFonts w:asciiTheme="majorHAnsi" w:hAnsiTheme="majorHAnsi" w:cstheme="majorHAnsi"/>
                <w:b/>
              </w:rPr>
            </w:pPr>
            <w:r w:rsidRPr="00CB6FAD">
              <w:rPr>
                <w:rFonts w:asciiTheme="majorHAnsi" w:hAnsiTheme="majorHAnsi" w:cstheme="majorHAnsi"/>
                <w:b/>
              </w:rPr>
              <w:t>Punteggio</w:t>
            </w:r>
            <w:r w:rsidRPr="00CB6FAD">
              <w:rPr>
                <w:rFonts w:asciiTheme="majorHAnsi" w:hAnsiTheme="majorHAnsi" w:cstheme="majorHAnsi"/>
              </w:rPr>
              <w:t xml:space="preserve"> </w:t>
            </w:r>
            <w:r w:rsidRPr="00CB6FAD">
              <w:rPr>
                <w:rFonts w:asciiTheme="majorHAnsi" w:hAnsiTheme="majorHAnsi" w:cstheme="majorHAnsi"/>
                <w:b/>
              </w:rPr>
              <w:t>Massimo</w:t>
            </w:r>
          </w:p>
        </w:tc>
      </w:tr>
      <w:tr w:rsidR="00CB6FAD" w:rsidRPr="00CB6FAD" w14:paraId="1A4FE084" w14:textId="77777777" w:rsidTr="00CB6FAD">
        <w:trPr>
          <w:trHeight w:val="309"/>
        </w:trPr>
        <w:tc>
          <w:tcPr>
            <w:tcW w:w="4822" w:type="dxa"/>
          </w:tcPr>
          <w:p w14:paraId="5163BB36" w14:textId="77777777" w:rsidR="00CB6FAD" w:rsidRPr="00CB6FAD" w:rsidRDefault="00CB6FAD" w:rsidP="00CB6FAD">
            <w:pPr>
              <w:jc w:val="both"/>
              <w:rPr>
                <w:rFonts w:asciiTheme="majorHAnsi" w:hAnsiTheme="majorHAnsi" w:cstheme="majorHAnsi"/>
              </w:rPr>
            </w:pPr>
            <w:r w:rsidRPr="00CB6FAD">
              <w:rPr>
                <w:rFonts w:asciiTheme="majorHAnsi" w:hAnsiTheme="majorHAnsi" w:cstheme="majorHAnsi"/>
              </w:rPr>
              <w:t>Offerta tecnica</w:t>
            </w:r>
          </w:p>
        </w:tc>
        <w:tc>
          <w:tcPr>
            <w:tcW w:w="4198" w:type="dxa"/>
          </w:tcPr>
          <w:p w14:paraId="7A11DCC8" w14:textId="77777777" w:rsidR="00CB6FAD" w:rsidRPr="00CB6FAD" w:rsidRDefault="00CB6FAD" w:rsidP="00CB6FAD">
            <w:pPr>
              <w:jc w:val="both"/>
              <w:rPr>
                <w:rFonts w:asciiTheme="majorHAnsi" w:hAnsiTheme="majorHAnsi" w:cstheme="majorHAnsi"/>
              </w:rPr>
            </w:pPr>
            <w:r w:rsidRPr="00CB6FAD">
              <w:rPr>
                <w:rFonts w:asciiTheme="majorHAnsi" w:hAnsiTheme="majorHAnsi" w:cstheme="majorHAnsi"/>
              </w:rPr>
              <w:t>90</w:t>
            </w:r>
          </w:p>
        </w:tc>
      </w:tr>
      <w:tr w:rsidR="00CB6FAD" w:rsidRPr="00CB6FAD" w14:paraId="64D8D206" w14:textId="77777777" w:rsidTr="00CB6FAD">
        <w:trPr>
          <w:trHeight w:val="309"/>
        </w:trPr>
        <w:tc>
          <w:tcPr>
            <w:tcW w:w="4822" w:type="dxa"/>
          </w:tcPr>
          <w:p w14:paraId="0564E52C" w14:textId="77777777" w:rsidR="00CB6FAD" w:rsidRPr="00CB6FAD" w:rsidRDefault="00CB6FAD" w:rsidP="00CB6FAD">
            <w:pPr>
              <w:jc w:val="both"/>
              <w:rPr>
                <w:rFonts w:asciiTheme="majorHAnsi" w:hAnsiTheme="majorHAnsi" w:cstheme="majorHAnsi"/>
              </w:rPr>
            </w:pPr>
            <w:r w:rsidRPr="00CB6FAD">
              <w:rPr>
                <w:rFonts w:asciiTheme="majorHAnsi" w:hAnsiTheme="majorHAnsi" w:cstheme="majorHAnsi"/>
              </w:rPr>
              <w:t>Offerta economica</w:t>
            </w:r>
          </w:p>
        </w:tc>
        <w:tc>
          <w:tcPr>
            <w:tcW w:w="4198" w:type="dxa"/>
          </w:tcPr>
          <w:p w14:paraId="0AB88BD3" w14:textId="77777777" w:rsidR="00CB6FAD" w:rsidRPr="00CB6FAD" w:rsidRDefault="00CB6FAD" w:rsidP="00CB6FAD">
            <w:pPr>
              <w:jc w:val="both"/>
              <w:rPr>
                <w:rFonts w:asciiTheme="majorHAnsi" w:hAnsiTheme="majorHAnsi" w:cstheme="majorHAnsi"/>
              </w:rPr>
            </w:pPr>
            <w:r w:rsidRPr="00CB6FAD">
              <w:rPr>
                <w:rFonts w:asciiTheme="majorHAnsi" w:hAnsiTheme="majorHAnsi" w:cstheme="majorHAnsi"/>
              </w:rPr>
              <w:t>10</w:t>
            </w:r>
          </w:p>
        </w:tc>
      </w:tr>
      <w:tr w:rsidR="00CB6FAD" w:rsidRPr="00CB6FAD" w14:paraId="4391DBC1" w14:textId="77777777" w:rsidTr="00CB6FAD">
        <w:trPr>
          <w:trHeight w:val="311"/>
        </w:trPr>
        <w:tc>
          <w:tcPr>
            <w:tcW w:w="4822" w:type="dxa"/>
          </w:tcPr>
          <w:p w14:paraId="6CFE2F1B" w14:textId="77777777" w:rsidR="00CB6FAD" w:rsidRPr="00CB6FAD" w:rsidRDefault="00CB6FAD" w:rsidP="00CB6FAD">
            <w:pPr>
              <w:jc w:val="both"/>
              <w:rPr>
                <w:rFonts w:asciiTheme="majorHAnsi" w:hAnsiTheme="majorHAnsi" w:cstheme="majorHAnsi"/>
              </w:rPr>
            </w:pPr>
            <w:r w:rsidRPr="00CB6FAD">
              <w:rPr>
                <w:rFonts w:asciiTheme="majorHAnsi" w:hAnsiTheme="majorHAnsi" w:cstheme="majorHAnsi"/>
              </w:rPr>
              <w:t>TOTALE</w:t>
            </w:r>
          </w:p>
        </w:tc>
        <w:tc>
          <w:tcPr>
            <w:tcW w:w="4198" w:type="dxa"/>
          </w:tcPr>
          <w:p w14:paraId="6E621378" w14:textId="77777777" w:rsidR="00CB6FAD" w:rsidRPr="00CB6FAD" w:rsidRDefault="00CB6FAD" w:rsidP="00CB6FAD">
            <w:pPr>
              <w:jc w:val="both"/>
              <w:rPr>
                <w:rFonts w:asciiTheme="majorHAnsi" w:hAnsiTheme="majorHAnsi" w:cstheme="majorHAnsi"/>
              </w:rPr>
            </w:pPr>
            <w:r w:rsidRPr="00CB6FAD">
              <w:rPr>
                <w:rFonts w:asciiTheme="majorHAnsi" w:hAnsiTheme="majorHAnsi" w:cstheme="majorHAnsi"/>
              </w:rPr>
              <w:t>100</w:t>
            </w:r>
          </w:p>
        </w:tc>
      </w:tr>
    </w:tbl>
    <w:p w14:paraId="43EEF45B" w14:textId="77777777" w:rsidR="00CB6FAD" w:rsidRDefault="00CB6FAD" w:rsidP="0076499B">
      <w:pPr>
        <w:jc w:val="both"/>
        <w:rPr>
          <w:rFonts w:asciiTheme="majorHAnsi" w:hAnsiTheme="majorHAnsi" w:cstheme="majorHAnsi"/>
        </w:rPr>
      </w:pPr>
    </w:p>
    <w:p w14:paraId="2C404886" w14:textId="77777777" w:rsidR="00CB6FAD" w:rsidRDefault="00CB6FAD" w:rsidP="0076499B">
      <w:pPr>
        <w:jc w:val="both"/>
        <w:rPr>
          <w:rFonts w:asciiTheme="majorHAnsi" w:hAnsiTheme="majorHAnsi" w:cstheme="majorHAnsi"/>
        </w:rPr>
      </w:pPr>
    </w:p>
    <w:p w14:paraId="29A5EBD0" w14:textId="77777777" w:rsidR="00CB6FAD" w:rsidRPr="00CB6FAD" w:rsidRDefault="00CB6FAD" w:rsidP="00CB6FAD">
      <w:pPr>
        <w:jc w:val="both"/>
        <w:rPr>
          <w:rFonts w:asciiTheme="majorHAnsi" w:hAnsiTheme="majorHAnsi" w:cstheme="majorHAnsi"/>
        </w:rPr>
      </w:pPr>
      <w:r w:rsidRPr="00CB6FAD">
        <w:rPr>
          <w:rFonts w:asciiTheme="majorHAnsi" w:hAnsiTheme="majorHAnsi" w:cstheme="majorHAnsi"/>
        </w:rPr>
        <w:t>18.1</w:t>
      </w:r>
      <w:r w:rsidRPr="00CB6FAD">
        <w:rPr>
          <w:rFonts w:asciiTheme="majorHAnsi" w:hAnsiTheme="majorHAnsi" w:cstheme="majorHAnsi"/>
        </w:rPr>
        <w:tab/>
        <w:t>CRITERI DI VALUTAZIONE DELL’OFFERTA TECNICA</w:t>
      </w:r>
    </w:p>
    <w:p w14:paraId="35081C32" w14:textId="77777777" w:rsidR="00D951E2" w:rsidRPr="00D951E2" w:rsidRDefault="00D951E2" w:rsidP="00D951E2">
      <w:pPr>
        <w:jc w:val="both"/>
        <w:rPr>
          <w:rFonts w:asciiTheme="majorHAnsi" w:hAnsiTheme="majorHAnsi" w:cstheme="majorHAnsi"/>
        </w:rPr>
      </w:pPr>
      <w:r w:rsidRPr="00D951E2">
        <w:rPr>
          <w:rFonts w:asciiTheme="majorHAnsi" w:hAnsiTheme="majorHAnsi" w:cstheme="majorHAnsi"/>
        </w:rPr>
        <w:t>Il punteggio totale sarà dato dalla somma dei due elementi sopra riportati.</w:t>
      </w:r>
    </w:p>
    <w:p w14:paraId="132E6B48" w14:textId="77777777" w:rsidR="00D951E2" w:rsidRPr="00D951E2" w:rsidRDefault="00D951E2" w:rsidP="00D951E2">
      <w:pPr>
        <w:jc w:val="both"/>
        <w:rPr>
          <w:rFonts w:asciiTheme="majorHAnsi" w:hAnsiTheme="majorHAnsi" w:cstheme="majorHAnsi"/>
        </w:rPr>
      </w:pPr>
      <w:r w:rsidRPr="00D951E2">
        <w:rPr>
          <w:rFonts w:asciiTheme="majorHAnsi" w:hAnsiTheme="majorHAnsi" w:cstheme="majorHAnsi"/>
        </w:rPr>
        <w:t>L’aggiudicazione avverrà a favore dell’operatore economico che avrà ottenuto il punteggio totale maggiore (Offerta tecnica + Offerta economica).</w:t>
      </w:r>
    </w:p>
    <w:p w14:paraId="76D656B6" w14:textId="77777777" w:rsidR="00D951E2" w:rsidRPr="00D951E2" w:rsidRDefault="00D951E2" w:rsidP="00D951E2">
      <w:pPr>
        <w:jc w:val="both"/>
        <w:rPr>
          <w:rFonts w:asciiTheme="majorHAnsi" w:hAnsiTheme="majorHAnsi" w:cstheme="majorHAnsi"/>
        </w:rPr>
      </w:pPr>
      <w:r w:rsidRPr="00D951E2">
        <w:rPr>
          <w:rFonts w:asciiTheme="majorHAnsi" w:hAnsiTheme="majorHAnsi" w:cstheme="majorHAnsi"/>
        </w:rPr>
        <w:t>La stazione appaltante si riserva la facoltà di revocare in ogni momento l’intera procedura per sopravvenute ragioni di pubblico interesse o per la modifica delle circostanze di fatto o dei presupposti giuridici su cui la procedura si basa, come anche di non procedere all’aggiudicazione qualora nessuna delle offerte presentate venga ritenuta conveniente o idonea e rispondente alle proprie esigenze in relazione all’oggetto del contratto, senza che gli offerenti possano richiedere indennità o compensi di sorta ai sensi dell’art. 108, comma 10 del Codice. L’aggiudicazione avrà luogo anche in presenza di una sola offerta purché ritenuta valida e congrua in relazione all’oggetto dell’appalto.</w:t>
      </w:r>
    </w:p>
    <w:p w14:paraId="17C96EBE" w14:textId="77777777" w:rsidR="00D951E2" w:rsidRPr="00D951E2" w:rsidRDefault="00D951E2" w:rsidP="00D951E2">
      <w:pPr>
        <w:jc w:val="both"/>
        <w:rPr>
          <w:rFonts w:asciiTheme="majorHAnsi" w:hAnsiTheme="majorHAnsi" w:cstheme="majorHAnsi"/>
        </w:rPr>
      </w:pPr>
    </w:p>
    <w:p w14:paraId="0DB7BA9F" w14:textId="77777777" w:rsidR="00D951E2" w:rsidRPr="00D951E2" w:rsidRDefault="00D951E2" w:rsidP="00D951E2">
      <w:pPr>
        <w:jc w:val="both"/>
        <w:rPr>
          <w:rFonts w:asciiTheme="majorHAnsi" w:hAnsiTheme="majorHAnsi" w:cstheme="majorHAnsi"/>
        </w:rPr>
      </w:pPr>
      <w:r w:rsidRPr="00D951E2">
        <w:rPr>
          <w:rFonts w:asciiTheme="majorHAnsi" w:hAnsiTheme="majorHAnsi" w:cstheme="majorHAnsi"/>
        </w:rPr>
        <w:t>Il punteggio dell’offerta tecnica è attribuito sulla base dei criteri di valutazione elencati nella sottostante tabella con la relativa ripartizione dei punteggi.</w:t>
      </w:r>
    </w:p>
    <w:p w14:paraId="5C7F10B2" w14:textId="77777777" w:rsidR="00D951E2" w:rsidRPr="00D951E2" w:rsidRDefault="00D951E2" w:rsidP="00D951E2">
      <w:pPr>
        <w:jc w:val="both"/>
        <w:rPr>
          <w:rFonts w:asciiTheme="majorHAnsi" w:hAnsiTheme="majorHAnsi" w:cstheme="majorHAnsi"/>
        </w:rPr>
      </w:pPr>
    </w:p>
    <w:p w14:paraId="11B05994" w14:textId="77777777" w:rsidR="00D951E2" w:rsidRPr="00D951E2" w:rsidRDefault="00D951E2" w:rsidP="00D951E2">
      <w:pPr>
        <w:jc w:val="both"/>
        <w:rPr>
          <w:rFonts w:asciiTheme="majorHAnsi" w:hAnsiTheme="majorHAnsi" w:cstheme="majorHAnsi"/>
        </w:rPr>
      </w:pPr>
      <w:r w:rsidRPr="00D951E2">
        <w:rPr>
          <w:rFonts w:asciiTheme="majorHAnsi" w:hAnsiTheme="majorHAnsi" w:cstheme="majorHAnsi"/>
        </w:rPr>
        <w:t xml:space="preserve">Nella colonna identificata con la lettera </w:t>
      </w:r>
      <w:r w:rsidRPr="00D951E2">
        <w:rPr>
          <w:rFonts w:asciiTheme="majorHAnsi" w:hAnsiTheme="majorHAnsi" w:cstheme="majorHAnsi"/>
          <w:b/>
          <w:bCs/>
        </w:rPr>
        <w:t>D</w:t>
      </w:r>
      <w:r w:rsidRPr="00D951E2">
        <w:rPr>
          <w:rFonts w:asciiTheme="majorHAnsi" w:hAnsiTheme="majorHAnsi" w:cstheme="majorHAnsi"/>
        </w:rPr>
        <w:t xml:space="preserve"> vengono indicati i “</w:t>
      </w:r>
      <w:r w:rsidRPr="00D951E2">
        <w:rPr>
          <w:rFonts w:asciiTheme="majorHAnsi" w:hAnsiTheme="majorHAnsi" w:cstheme="majorHAnsi"/>
          <w:b/>
          <w:bCs/>
        </w:rPr>
        <w:t>Punteggi discrezionali</w:t>
      </w:r>
      <w:r w:rsidRPr="00D951E2">
        <w:rPr>
          <w:rFonts w:asciiTheme="majorHAnsi" w:hAnsiTheme="majorHAnsi" w:cstheme="majorHAnsi"/>
        </w:rPr>
        <w:t>”, vale a dire i punteggi il cui coefficiente è attribuito in ragione dell’esercizio della discrezionalità spettante alla commissione giudicatrice.</w:t>
      </w:r>
    </w:p>
    <w:p w14:paraId="35693F3C" w14:textId="77777777" w:rsidR="00D951E2" w:rsidRPr="00D951E2" w:rsidRDefault="00D951E2" w:rsidP="00D951E2">
      <w:pPr>
        <w:jc w:val="both"/>
        <w:rPr>
          <w:rFonts w:asciiTheme="majorHAnsi" w:hAnsiTheme="majorHAnsi" w:cstheme="majorHAnsi"/>
        </w:rPr>
      </w:pPr>
    </w:p>
    <w:p w14:paraId="21ABAAAE" w14:textId="77777777" w:rsidR="00D951E2" w:rsidRPr="00D951E2" w:rsidRDefault="00D951E2" w:rsidP="00D951E2">
      <w:pPr>
        <w:jc w:val="both"/>
        <w:rPr>
          <w:rFonts w:asciiTheme="majorHAnsi" w:hAnsiTheme="majorHAnsi" w:cstheme="majorHAnsi"/>
        </w:rPr>
      </w:pPr>
      <w:r w:rsidRPr="00D951E2">
        <w:rPr>
          <w:rFonts w:asciiTheme="majorHAnsi" w:hAnsiTheme="majorHAnsi" w:cstheme="majorHAnsi"/>
        </w:rPr>
        <w:t xml:space="preserve">Nella colonna identificata con la lettera </w:t>
      </w:r>
      <w:r w:rsidRPr="00D951E2">
        <w:rPr>
          <w:rFonts w:asciiTheme="majorHAnsi" w:hAnsiTheme="majorHAnsi" w:cstheme="majorHAnsi"/>
          <w:b/>
          <w:bCs/>
        </w:rPr>
        <w:t>Q</w:t>
      </w:r>
      <w:r w:rsidRPr="00D951E2">
        <w:rPr>
          <w:rFonts w:asciiTheme="majorHAnsi" w:hAnsiTheme="majorHAnsi" w:cstheme="majorHAnsi"/>
        </w:rPr>
        <w:t xml:space="preserve"> vengono indicati i “</w:t>
      </w:r>
      <w:r w:rsidRPr="00D951E2">
        <w:rPr>
          <w:rFonts w:asciiTheme="majorHAnsi" w:hAnsiTheme="majorHAnsi" w:cstheme="majorHAnsi"/>
          <w:b/>
          <w:bCs/>
        </w:rPr>
        <w:t>Punteggi</w:t>
      </w:r>
      <w:r w:rsidRPr="00D951E2">
        <w:rPr>
          <w:rFonts w:asciiTheme="majorHAnsi" w:hAnsiTheme="majorHAnsi" w:cstheme="majorHAnsi"/>
        </w:rPr>
        <w:t xml:space="preserve"> </w:t>
      </w:r>
      <w:r w:rsidRPr="00D951E2">
        <w:rPr>
          <w:rFonts w:asciiTheme="majorHAnsi" w:hAnsiTheme="majorHAnsi" w:cstheme="majorHAnsi"/>
          <w:b/>
          <w:bCs/>
        </w:rPr>
        <w:t>quantitativi</w:t>
      </w:r>
      <w:r w:rsidRPr="00D951E2">
        <w:rPr>
          <w:rFonts w:asciiTheme="majorHAnsi" w:hAnsiTheme="majorHAnsi" w:cstheme="majorHAnsi"/>
        </w:rPr>
        <w:t>”, vale a dire i punteggi il cui coefficiente è attribuito mediante applicazione di una formula matematica.</w:t>
      </w:r>
    </w:p>
    <w:p w14:paraId="51BF8C6F" w14:textId="77777777" w:rsidR="00D951E2" w:rsidRPr="00D951E2" w:rsidRDefault="00D951E2" w:rsidP="00D951E2">
      <w:pPr>
        <w:jc w:val="both"/>
        <w:rPr>
          <w:rFonts w:asciiTheme="majorHAnsi" w:hAnsiTheme="majorHAnsi" w:cstheme="majorHAnsi"/>
        </w:rPr>
      </w:pPr>
    </w:p>
    <w:p w14:paraId="3C7B5325" w14:textId="77777777" w:rsidR="00D951E2" w:rsidRPr="00D951E2" w:rsidRDefault="00D951E2" w:rsidP="00D951E2">
      <w:pPr>
        <w:jc w:val="both"/>
        <w:rPr>
          <w:rFonts w:asciiTheme="majorHAnsi" w:hAnsiTheme="majorHAnsi" w:cstheme="majorHAnsi"/>
        </w:rPr>
      </w:pPr>
      <w:r w:rsidRPr="00D951E2">
        <w:rPr>
          <w:rFonts w:asciiTheme="majorHAnsi" w:hAnsiTheme="majorHAnsi" w:cstheme="majorHAnsi"/>
        </w:rPr>
        <w:t xml:space="preserve">Nella colonna identificata dalla lettera </w:t>
      </w:r>
      <w:r w:rsidRPr="00D951E2">
        <w:rPr>
          <w:rFonts w:asciiTheme="majorHAnsi" w:hAnsiTheme="majorHAnsi" w:cstheme="majorHAnsi"/>
          <w:b/>
          <w:bCs/>
        </w:rPr>
        <w:t>T</w:t>
      </w:r>
      <w:r w:rsidRPr="00D951E2">
        <w:rPr>
          <w:rFonts w:asciiTheme="majorHAnsi" w:hAnsiTheme="majorHAnsi" w:cstheme="majorHAnsi"/>
        </w:rPr>
        <w:t xml:space="preserve"> vengono indicati i “</w:t>
      </w:r>
      <w:r w:rsidRPr="00D951E2">
        <w:rPr>
          <w:rFonts w:asciiTheme="majorHAnsi" w:hAnsiTheme="majorHAnsi" w:cstheme="majorHAnsi"/>
          <w:b/>
          <w:bCs/>
        </w:rPr>
        <w:t>Punteggi tabellari</w:t>
      </w:r>
      <w:r w:rsidRPr="00D951E2">
        <w:rPr>
          <w:rFonts w:asciiTheme="majorHAnsi" w:hAnsiTheme="majorHAnsi" w:cstheme="majorHAnsi"/>
        </w:rPr>
        <w:t xml:space="preserve">”, vale a dire i punteggi fissi e predefiniti che saranno attribuiti o non attribuiti in ragione dell’offerta o mancata offerta di quanto specificamente richiesto. </w:t>
      </w:r>
    </w:p>
    <w:p w14:paraId="62317D98" w14:textId="77777777" w:rsidR="00D951E2" w:rsidRPr="00D951E2" w:rsidRDefault="00D951E2" w:rsidP="00D951E2">
      <w:pPr>
        <w:jc w:val="both"/>
        <w:rPr>
          <w:rFonts w:asciiTheme="majorHAnsi" w:hAnsiTheme="majorHAnsi" w:cstheme="majorHAnsi"/>
        </w:rPr>
      </w:pPr>
    </w:p>
    <w:p w14:paraId="6E113510" w14:textId="1FAC112E" w:rsidR="00CB6FAD" w:rsidRDefault="00D951E2" w:rsidP="00D951E2">
      <w:pPr>
        <w:jc w:val="both"/>
        <w:rPr>
          <w:rFonts w:asciiTheme="majorHAnsi" w:hAnsiTheme="majorHAnsi" w:cstheme="majorHAnsi"/>
          <w:b/>
          <w:bCs/>
        </w:rPr>
      </w:pPr>
      <w:r w:rsidRPr="00D951E2">
        <w:rPr>
          <w:rFonts w:asciiTheme="majorHAnsi" w:hAnsiTheme="majorHAnsi" w:cstheme="majorHAnsi"/>
          <w:b/>
          <w:bCs/>
        </w:rPr>
        <w:t>Tabella dei criteri discrezionali (D), quantitativi (Q) e tabellari (T) di valutazione dell’offerta tecnica</w:t>
      </w:r>
    </w:p>
    <w:tbl>
      <w:tblPr>
        <w:tblW w:w="5365" w:type="pct"/>
        <w:tblInd w:w="-108" w:type="dxa"/>
        <w:tblLook w:val="04A0" w:firstRow="1" w:lastRow="0" w:firstColumn="1" w:lastColumn="0" w:noHBand="0" w:noVBand="1"/>
      </w:tblPr>
      <w:tblGrid>
        <w:gridCol w:w="460"/>
        <w:gridCol w:w="2444"/>
        <w:gridCol w:w="951"/>
        <w:gridCol w:w="685"/>
        <w:gridCol w:w="2796"/>
        <w:gridCol w:w="796"/>
        <w:gridCol w:w="796"/>
        <w:gridCol w:w="796"/>
      </w:tblGrid>
      <w:tr w:rsidR="000C3E7D" w:rsidRPr="00D951E2" w14:paraId="126D90CF" w14:textId="77777777" w:rsidTr="000D7FA6">
        <w:trPr>
          <w:trHeight w:val="953"/>
        </w:trPr>
        <w:tc>
          <w:tcPr>
            <w:tcW w:w="46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CBEA99F" w14:textId="77777777" w:rsidR="00D951E2" w:rsidRPr="00D951E2" w:rsidRDefault="00D951E2" w:rsidP="00D951E2">
            <w:pPr>
              <w:jc w:val="both"/>
              <w:rPr>
                <w:rFonts w:asciiTheme="majorHAnsi" w:hAnsiTheme="majorHAnsi" w:cstheme="majorHAnsi"/>
                <w:b/>
                <w:bCs/>
                <w:i/>
              </w:rPr>
            </w:pPr>
            <w:r w:rsidRPr="00D951E2">
              <w:rPr>
                <w:rFonts w:asciiTheme="majorHAnsi" w:hAnsiTheme="majorHAnsi" w:cstheme="majorHAnsi"/>
                <w:b/>
                <w:bCs/>
                <w:i/>
              </w:rPr>
              <w:t>n°</w:t>
            </w:r>
          </w:p>
        </w:tc>
        <w:tc>
          <w:tcPr>
            <w:tcW w:w="229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97E0CFB" w14:textId="77777777" w:rsidR="00D951E2" w:rsidRPr="00D951E2" w:rsidRDefault="00D951E2" w:rsidP="00D951E2">
            <w:pPr>
              <w:jc w:val="both"/>
              <w:rPr>
                <w:rFonts w:asciiTheme="majorHAnsi" w:hAnsiTheme="majorHAnsi" w:cstheme="majorHAnsi"/>
                <w:b/>
                <w:bCs/>
                <w:i/>
              </w:rPr>
            </w:pPr>
            <w:r w:rsidRPr="00D951E2">
              <w:rPr>
                <w:rFonts w:asciiTheme="majorHAnsi" w:hAnsiTheme="majorHAnsi" w:cstheme="majorHAnsi"/>
                <w:b/>
                <w:bCs/>
                <w:i/>
              </w:rPr>
              <w:t>criteri di valutazione</w:t>
            </w:r>
          </w:p>
        </w:tc>
        <w:tc>
          <w:tcPr>
            <w:tcW w:w="97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3C4D951" w14:textId="77777777" w:rsidR="00D951E2" w:rsidRPr="00D951E2" w:rsidRDefault="00D951E2" w:rsidP="00D951E2">
            <w:pPr>
              <w:jc w:val="both"/>
              <w:rPr>
                <w:rFonts w:asciiTheme="majorHAnsi" w:hAnsiTheme="majorHAnsi" w:cstheme="majorHAnsi"/>
                <w:b/>
                <w:bCs/>
                <w:i/>
              </w:rPr>
            </w:pPr>
            <w:r w:rsidRPr="00D951E2">
              <w:rPr>
                <w:rFonts w:asciiTheme="majorHAnsi" w:hAnsiTheme="majorHAnsi" w:cstheme="majorHAnsi"/>
                <w:b/>
                <w:bCs/>
                <w:i/>
              </w:rPr>
              <w:t>punti max</w:t>
            </w:r>
          </w:p>
        </w:tc>
        <w:tc>
          <w:tcPr>
            <w:tcW w:w="6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D1D3FD" w14:textId="77777777" w:rsidR="00D951E2" w:rsidRPr="00D951E2" w:rsidRDefault="00D951E2" w:rsidP="00D951E2">
            <w:pPr>
              <w:jc w:val="both"/>
              <w:rPr>
                <w:rFonts w:asciiTheme="majorHAnsi" w:hAnsiTheme="majorHAnsi" w:cstheme="majorHAnsi"/>
                <w:b/>
                <w:bCs/>
                <w:i/>
              </w:rPr>
            </w:pPr>
          </w:p>
        </w:tc>
        <w:tc>
          <w:tcPr>
            <w:tcW w:w="28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9BE6967" w14:textId="77777777" w:rsidR="00D951E2" w:rsidRPr="00D951E2" w:rsidRDefault="00D951E2" w:rsidP="00D951E2">
            <w:pPr>
              <w:jc w:val="both"/>
              <w:rPr>
                <w:rFonts w:asciiTheme="majorHAnsi" w:hAnsiTheme="majorHAnsi" w:cstheme="majorHAnsi"/>
                <w:b/>
                <w:bCs/>
                <w:i/>
              </w:rPr>
            </w:pPr>
            <w:r w:rsidRPr="00D951E2">
              <w:rPr>
                <w:rFonts w:asciiTheme="majorHAnsi" w:hAnsiTheme="majorHAnsi" w:cstheme="majorHAnsi"/>
                <w:b/>
                <w:bCs/>
                <w:i/>
              </w:rPr>
              <w:t>sub-criteri di valutazione</w:t>
            </w:r>
          </w:p>
        </w:tc>
        <w:tc>
          <w:tcPr>
            <w:tcW w:w="80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8DE5BC1" w14:textId="77777777" w:rsidR="00D951E2" w:rsidRPr="00D951E2" w:rsidRDefault="00D951E2" w:rsidP="00D951E2">
            <w:pPr>
              <w:jc w:val="both"/>
              <w:rPr>
                <w:rFonts w:asciiTheme="majorHAnsi" w:hAnsiTheme="majorHAnsi" w:cstheme="majorHAnsi"/>
                <w:b/>
                <w:bCs/>
                <w:i/>
              </w:rPr>
            </w:pPr>
            <w:r w:rsidRPr="00D951E2">
              <w:rPr>
                <w:rFonts w:asciiTheme="majorHAnsi" w:hAnsiTheme="majorHAnsi" w:cstheme="majorHAnsi"/>
                <w:b/>
                <w:bCs/>
                <w:i/>
              </w:rPr>
              <w:t>punti D max</w:t>
            </w:r>
          </w:p>
        </w:tc>
        <w:tc>
          <w:tcPr>
            <w:tcW w:w="80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572AB97" w14:textId="77777777" w:rsidR="00D951E2" w:rsidRPr="00D951E2" w:rsidRDefault="00D951E2" w:rsidP="00D951E2">
            <w:pPr>
              <w:jc w:val="both"/>
              <w:rPr>
                <w:rFonts w:asciiTheme="majorHAnsi" w:hAnsiTheme="majorHAnsi" w:cstheme="majorHAnsi"/>
                <w:b/>
                <w:bCs/>
                <w:i/>
              </w:rPr>
            </w:pPr>
            <w:r w:rsidRPr="00D951E2">
              <w:rPr>
                <w:rFonts w:asciiTheme="majorHAnsi" w:hAnsiTheme="majorHAnsi" w:cstheme="majorHAnsi"/>
                <w:b/>
                <w:bCs/>
                <w:i/>
              </w:rPr>
              <w:t>punti Q max</w:t>
            </w:r>
          </w:p>
        </w:tc>
        <w:tc>
          <w:tcPr>
            <w:tcW w:w="80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B2DADB4" w14:textId="77777777" w:rsidR="00D951E2" w:rsidRPr="00D951E2" w:rsidRDefault="00D951E2" w:rsidP="00D951E2">
            <w:pPr>
              <w:jc w:val="both"/>
              <w:rPr>
                <w:rFonts w:asciiTheme="majorHAnsi" w:hAnsiTheme="majorHAnsi" w:cstheme="majorHAnsi"/>
                <w:b/>
                <w:bCs/>
                <w:i/>
              </w:rPr>
            </w:pPr>
            <w:r w:rsidRPr="00D951E2">
              <w:rPr>
                <w:rFonts w:asciiTheme="majorHAnsi" w:hAnsiTheme="majorHAnsi" w:cstheme="majorHAnsi"/>
                <w:b/>
                <w:bCs/>
                <w:i/>
              </w:rPr>
              <w:t>punti T max</w:t>
            </w:r>
          </w:p>
        </w:tc>
      </w:tr>
      <w:tr w:rsidR="007A1340" w:rsidRPr="00D951E2" w14:paraId="3FA106BB" w14:textId="77777777" w:rsidTr="000D7FA6">
        <w:trPr>
          <w:trHeight w:val="1330"/>
        </w:trPr>
        <w:tc>
          <w:tcPr>
            <w:tcW w:w="460" w:type="dxa"/>
            <w:vMerge w:val="restart"/>
            <w:tcBorders>
              <w:top w:val="single" w:sz="4" w:space="0" w:color="000000"/>
              <w:left w:val="single" w:sz="4" w:space="0" w:color="000000"/>
              <w:bottom w:val="single" w:sz="4" w:space="0" w:color="000000"/>
              <w:right w:val="single" w:sz="4" w:space="0" w:color="000000"/>
            </w:tcBorders>
            <w:vAlign w:val="center"/>
            <w:hideMark/>
          </w:tcPr>
          <w:p w14:paraId="10591471"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lastRenderedPageBreak/>
              <w:t>A</w:t>
            </w:r>
          </w:p>
        </w:tc>
        <w:tc>
          <w:tcPr>
            <w:tcW w:w="2296" w:type="dxa"/>
            <w:vMerge w:val="restart"/>
            <w:tcBorders>
              <w:top w:val="single" w:sz="4" w:space="0" w:color="000000"/>
              <w:left w:val="single" w:sz="4" w:space="0" w:color="000000"/>
              <w:bottom w:val="single" w:sz="4" w:space="0" w:color="000000"/>
              <w:right w:val="single" w:sz="4" w:space="0" w:color="000000"/>
            </w:tcBorders>
            <w:vAlign w:val="center"/>
            <w:hideMark/>
          </w:tcPr>
          <w:p w14:paraId="4471F237"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rPr>
              <w:t>PROGETTO PEDAGOGICO EDUCATIVO</w:t>
            </w:r>
          </w:p>
        </w:tc>
        <w:tc>
          <w:tcPr>
            <w:tcW w:w="975" w:type="dxa"/>
            <w:vMerge w:val="restart"/>
            <w:tcBorders>
              <w:top w:val="single" w:sz="4" w:space="0" w:color="000000"/>
              <w:left w:val="single" w:sz="4" w:space="0" w:color="000000"/>
              <w:bottom w:val="single" w:sz="4" w:space="0" w:color="000000"/>
              <w:right w:val="single" w:sz="4" w:space="0" w:color="000000"/>
            </w:tcBorders>
            <w:vAlign w:val="center"/>
            <w:hideMark/>
          </w:tcPr>
          <w:p w14:paraId="6266068A"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35</w:t>
            </w:r>
          </w:p>
        </w:tc>
        <w:tc>
          <w:tcPr>
            <w:tcW w:w="698" w:type="dxa"/>
            <w:tcBorders>
              <w:top w:val="single" w:sz="4" w:space="0" w:color="000000"/>
              <w:left w:val="single" w:sz="4" w:space="0" w:color="000000"/>
              <w:bottom w:val="single" w:sz="4" w:space="0" w:color="000000"/>
              <w:right w:val="single" w:sz="4" w:space="0" w:color="000000"/>
            </w:tcBorders>
            <w:vAlign w:val="center"/>
            <w:hideMark/>
          </w:tcPr>
          <w:p w14:paraId="7F15BECF"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A.1</w:t>
            </w:r>
          </w:p>
        </w:tc>
        <w:tc>
          <w:tcPr>
            <w:tcW w:w="2886" w:type="dxa"/>
            <w:tcBorders>
              <w:top w:val="single" w:sz="4" w:space="0" w:color="000000"/>
              <w:left w:val="single" w:sz="4" w:space="0" w:color="000000"/>
              <w:bottom w:val="single" w:sz="4" w:space="0" w:color="000000"/>
              <w:right w:val="single" w:sz="4" w:space="0" w:color="000000"/>
            </w:tcBorders>
            <w:vAlign w:val="center"/>
            <w:hideMark/>
          </w:tcPr>
          <w:p w14:paraId="004613DF" w14:textId="77777777" w:rsidR="00D951E2" w:rsidRPr="00D951E2" w:rsidRDefault="00D951E2" w:rsidP="00D951E2">
            <w:pPr>
              <w:jc w:val="both"/>
              <w:rPr>
                <w:rFonts w:asciiTheme="majorHAnsi" w:hAnsiTheme="majorHAnsi" w:cstheme="majorHAnsi"/>
                <w:iCs/>
              </w:rPr>
            </w:pPr>
            <w:r w:rsidRPr="00D951E2">
              <w:rPr>
                <w:rFonts w:asciiTheme="majorHAnsi" w:hAnsiTheme="majorHAnsi" w:cstheme="majorHAnsi"/>
              </w:rPr>
              <w:t>Descrizione della cornice pedagogica di riferimento e delle linee progettuali con esplicitazione dei criteri e delle motivazioni pedagogiche per l’organizzazione di tempi, spazi e proposte progettuali. Rispondenza ai criteri specificati in capitolato e al contesto specifico.</w:t>
            </w:r>
          </w:p>
        </w:tc>
        <w:tc>
          <w:tcPr>
            <w:tcW w:w="803" w:type="dxa"/>
            <w:tcBorders>
              <w:top w:val="single" w:sz="4" w:space="0" w:color="000000"/>
              <w:left w:val="single" w:sz="4" w:space="0" w:color="000000"/>
              <w:bottom w:val="single" w:sz="4" w:space="0" w:color="000000"/>
              <w:right w:val="single" w:sz="4" w:space="0" w:color="000000"/>
            </w:tcBorders>
            <w:vAlign w:val="center"/>
            <w:hideMark/>
          </w:tcPr>
          <w:p w14:paraId="1B75117B"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15</w:t>
            </w:r>
          </w:p>
        </w:tc>
        <w:tc>
          <w:tcPr>
            <w:tcW w:w="803" w:type="dxa"/>
            <w:tcBorders>
              <w:top w:val="single" w:sz="4" w:space="0" w:color="000000"/>
              <w:left w:val="single" w:sz="4" w:space="0" w:color="000000"/>
              <w:bottom w:val="single" w:sz="4" w:space="0" w:color="000000"/>
              <w:right w:val="single" w:sz="4" w:space="0" w:color="000000"/>
            </w:tcBorders>
            <w:vAlign w:val="center"/>
          </w:tcPr>
          <w:p w14:paraId="752C4963" w14:textId="77777777" w:rsidR="00D951E2" w:rsidRPr="00D951E2" w:rsidRDefault="00D951E2" w:rsidP="00D951E2">
            <w:pPr>
              <w:jc w:val="both"/>
              <w:rPr>
                <w:rFonts w:asciiTheme="majorHAnsi" w:hAnsiTheme="majorHAnsi" w:cstheme="majorHAnsi"/>
                <w:b/>
                <w:bCs/>
                <w:iCs/>
              </w:rPr>
            </w:pPr>
          </w:p>
        </w:tc>
        <w:tc>
          <w:tcPr>
            <w:tcW w:w="803" w:type="dxa"/>
            <w:tcBorders>
              <w:top w:val="single" w:sz="4" w:space="0" w:color="000000"/>
              <w:left w:val="single" w:sz="4" w:space="0" w:color="000000"/>
              <w:bottom w:val="single" w:sz="4" w:space="0" w:color="000000"/>
              <w:right w:val="single" w:sz="4" w:space="0" w:color="000000"/>
            </w:tcBorders>
            <w:vAlign w:val="center"/>
          </w:tcPr>
          <w:p w14:paraId="3F0861E9" w14:textId="77777777" w:rsidR="00D951E2" w:rsidRPr="00D951E2" w:rsidRDefault="00D951E2" w:rsidP="00D951E2">
            <w:pPr>
              <w:jc w:val="both"/>
              <w:rPr>
                <w:rFonts w:asciiTheme="majorHAnsi" w:hAnsiTheme="majorHAnsi" w:cstheme="majorHAnsi"/>
                <w:b/>
                <w:bCs/>
                <w:iCs/>
              </w:rPr>
            </w:pPr>
          </w:p>
        </w:tc>
      </w:tr>
      <w:tr w:rsidR="007A1340" w:rsidRPr="00D951E2" w14:paraId="7011573D" w14:textId="77777777" w:rsidTr="000D7FA6">
        <w:trPr>
          <w:trHeight w:val="1330"/>
        </w:trPr>
        <w:tc>
          <w:tcPr>
            <w:tcW w:w="460" w:type="dxa"/>
            <w:vMerge/>
            <w:tcBorders>
              <w:top w:val="single" w:sz="4" w:space="0" w:color="000000"/>
              <w:left w:val="single" w:sz="4" w:space="0" w:color="000000"/>
              <w:bottom w:val="single" w:sz="4" w:space="0" w:color="000000"/>
              <w:right w:val="single" w:sz="4" w:space="0" w:color="000000"/>
            </w:tcBorders>
            <w:vAlign w:val="center"/>
          </w:tcPr>
          <w:p w14:paraId="1F8BFAAB" w14:textId="77777777" w:rsidR="00D951E2" w:rsidRPr="00D951E2" w:rsidRDefault="00D951E2" w:rsidP="00D951E2">
            <w:pPr>
              <w:jc w:val="both"/>
              <w:rPr>
                <w:rFonts w:asciiTheme="majorHAnsi" w:hAnsiTheme="majorHAnsi" w:cstheme="majorHAnsi"/>
                <w:b/>
                <w:bCs/>
                <w:iCs/>
              </w:rPr>
            </w:pPr>
          </w:p>
        </w:tc>
        <w:tc>
          <w:tcPr>
            <w:tcW w:w="2296" w:type="dxa"/>
            <w:vMerge/>
            <w:tcBorders>
              <w:top w:val="single" w:sz="4" w:space="0" w:color="000000"/>
              <w:left w:val="single" w:sz="4" w:space="0" w:color="000000"/>
              <w:bottom w:val="single" w:sz="4" w:space="0" w:color="000000"/>
              <w:right w:val="single" w:sz="4" w:space="0" w:color="000000"/>
            </w:tcBorders>
            <w:vAlign w:val="center"/>
          </w:tcPr>
          <w:p w14:paraId="581C3794" w14:textId="77777777" w:rsidR="00D951E2" w:rsidRPr="00D951E2" w:rsidRDefault="00D951E2" w:rsidP="00D951E2">
            <w:pPr>
              <w:jc w:val="both"/>
              <w:rPr>
                <w:rFonts w:asciiTheme="majorHAnsi" w:hAnsiTheme="majorHAnsi" w:cstheme="majorHAnsi"/>
                <w:b/>
                <w:bCs/>
                <w:iCs/>
              </w:rPr>
            </w:pPr>
          </w:p>
        </w:tc>
        <w:tc>
          <w:tcPr>
            <w:tcW w:w="975" w:type="dxa"/>
            <w:vMerge/>
            <w:tcBorders>
              <w:top w:val="single" w:sz="4" w:space="0" w:color="000000"/>
              <w:left w:val="single" w:sz="4" w:space="0" w:color="000000"/>
              <w:bottom w:val="single" w:sz="4" w:space="0" w:color="000000"/>
              <w:right w:val="single" w:sz="4" w:space="0" w:color="000000"/>
            </w:tcBorders>
            <w:vAlign w:val="center"/>
          </w:tcPr>
          <w:p w14:paraId="4D8D1137" w14:textId="77777777" w:rsidR="00D951E2" w:rsidRPr="00D951E2" w:rsidRDefault="00D951E2" w:rsidP="00D951E2">
            <w:pPr>
              <w:jc w:val="both"/>
              <w:rPr>
                <w:rFonts w:asciiTheme="majorHAnsi" w:hAnsiTheme="majorHAnsi" w:cstheme="majorHAnsi"/>
                <w:b/>
                <w:bCs/>
                <w:iCs/>
              </w:rPr>
            </w:pPr>
          </w:p>
        </w:tc>
        <w:tc>
          <w:tcPr>
            <w:tcW w:w="698" w:type="dxa"/>
            <w:tcBorders>
              <w:top w:val="single" w:sz="4" w:space="0" w:color="000000"/>
              <w:left w:val="single" w:sz="4" w:space="0" w:color="000000"/>
              <w:bottom w:val="single" w:sz="4" w:space="0" w:color="000000"/>
              <w:right w:val="single" w:sz="4" w:space="0" w:color="000000"/>
            </w:tcBorders>
            <w:vAlign w:val="center"/>
          </w:tcPr>
          <w:p w14:paraId="37DA4CC3"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A.2</w:t>
            </w:r>
          </w:p>
        </w:tc>
        <w:tc>
          <w:tcPr>
            <w:tcW w:w="2886" w:type="dxa"/>
            <w:tcBorders>
              <w:top w:val="single" w:sz="4" w:space="0" w:color="000000"/>
              <w:left w:val="single" w:sz="4" w:space="0" w:color="000000"/>
              <w:bottom w:val="single" w:sz="4" w:space="0" w:color="000000"/>
              <w:right w:val="single" w:sz="4" w:space="0" w:color="000000"/>
            </w:tcBorders>
            <w:vAlign w:val="center"/>
          </w:tcPr>
          <w:p w14:paraId="4CBFB040" w14:textId="77777777" w:rsidR="00D951E2" w:rsidRPr="00D951E2" w:rsidRDefault="00D951E2" w:rsidP="00D951E2">
            <w:pPr>
              <w:jc w:val="both"/>
              <w:rPr>
                <w:rFonts w:asciiTheme="majorHAnsi" w:hAnsiTheme="majorHAnsi" w:cstheme="majorHAnsi"/>
                <w:iCs/>
                <w:u w:val="single"/>
              </w:rPr>
            </w:pPr>
            <w:r w:rsidRPr="00D951E2">
              <w:rPr>
                <w:rFonts w:asciiTheme="majorHAnsi" w:hAnsiTheme="majorHAnsi" w:cstheme="majorHAnsi"/>
              </w:rPr>
              <w:t>Coinvolgimento e partecipazione delle famiglie: presupposti, strategie, modalità e strumenti di comunicazione, informazione, sostegno. Gestione di eventuali criticità.</w:t>
            </w:r>
          </w:p>
        </w:tc>
        <w:tc>
          <w:tcPr>
            <w:tcW w:w="803" w:type="dxa"/>
            <w:tcBorders>
              <w:top w:val="single" w:sz="4" w:space="0" w:color="000000"/>
              <w:left w:val="single" w:sz="4" w:space="0" w:color="000000"/>
              <w:bottom w:val="single" w:sz="4" w:space="0" w:color="000000"/>
              <w:right w:val="single" w:sz="4" w:space="0" w:color="000000"/>
            </w:tcBorders>
            <w:vAlign w:val="center"/>
          </w:tcPr>
          <w:p w14:paraId="70D9782A"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15</w:t>
            </w:r>
          </w:p>
        </w:tc>
        <w:tc>
          <w:tcPr>
            <w:tcW w:w="803" w:type="dxa"/>
            <w:tcBorders>
              <w:top w:val="single" w:sz="4" w:space="0" w:color="000000"/>
              <w:left w:val="single" w:sz="4" w:space="0" w:color="000000"/>
              <w:bottom w:val="single" w:sz="4" w:space="0" w:color="000000"/>
              <w:right w:val="single" w:sz="4" w:space="0" w:color="000000"/>
            </w:tcBorders>
            <w:vAlign w:val="center"/>
          </w:tcPr>
          <w:p w14:paraId="61E3D931" w14:textId="77777777" w:rsidR="00D951E2" w:rsidRPr="00D951E2" w:rsidRDefault="00D951E2" w:rsidP="00D951E2">
            <w:pPr>
              <w:jc w:val="both"/>
              <w:rPr>
                <w:rFonts w:asciiTheme="majorHAnsi" w:hAnsiTheme="majorHAnsi" w:cstheme="majorHAnsi"/>
                <w:b/>
                <w:bCs/>
                <w:iCs/>
              </w:rPr>
            </w:pPr>
          </w:p>
        </w:tc>
        <w:tc>
          <w:tcPr>
            <w:tcW w:w="803" w:type="dxa"/>
            <w:tcBorders>
              <w:top w:val="single" w:sz="4" w:space="0" w:color="000000"/>
              <w:left w:val="single" w:sz="4" w:space="0" w:color="000000"/>
              <w:bottom w:val="single" w:sz="4" w:space="0" w:color="000000"/>
              <w:right w:val="single" w:sz="4" w:space="0" w:color="000000"/>
            </w:tcBorders>
            <w:vAlign w:val="center"/>
          </w:tcPr>
          <w:p w14:paraId="7D102967" w14:textId="77777777" w:rsidR="00D951E2" w:rsidRPr="00D951E2" w:rsidRDefault="00D951E2" w:rsidP="00D951E2">
            <w:pPr>
              <w:jc w:val="both"/>
              <w:rPr>
                <w:rFonts w:asciiTheme="majorHAnsi" w:hAnsiTheme="majorHAnsi" w:cstheme="majorHAnsi"/>
                <w:b/>
                <w:bCs/>
                <w:iCs/>
              </w:rPr>
            </w:pPr>
          </w:p>
        </w:tc>
      </w:tr>
      <w:tr w:rsidR="007A1340" w:rsidRPr="00D951E2" w14:paraId="258B0149" w14:textId="77777777" w:rsidTr="000D7FA6">
        <w:trPr>
          <w:trHeight w:val="1330"/>
        </w:trPr>
        <w:tc>
          <w:tcPr>
            <w:tcW w:w="460" w:type="dxa"/>
            <w:vMerge/>
            <w:tcBorders>
              <w:top w:val="single" w:sz="4" w:space="0" w:color="000000"/>
              <w:left w:val="single" w:sz="4" w:space="0" w:color="000000"/>
              <w:bottom w:val="single" w:sz="4" w:space="0" w:color="000000"/>
              <w:right w:val="single" w:sz="4" w:space="0" w:color="000000"/>
            </w:tcBorders>
            <w:vAlign w:val="center"/>
          </w:tcPr>
          <w:p w14:paraId="644CC50E" w14:textId="77777777" w:rsidR="00D951E2" w:rsidRPr="00D951E2" w:rsidRDefault="00D951E2" w:rsidP="00D951E2">
            <w:pPr>
              <w:jc w:val="both"/>
              <w:rPr>
                <w:rFonts w:asciiTheme="majorHAnsi" w:hAnsiTheme="majorHAnsi" w:cstheme="majorHAnsi"/>
                <w:b/>
                <w:bCs/>
                <w:iCs/>
              </w:rPr>
            </w:pPr>
          </w:p>
        </w:tc>
        <w:tc>
          <w:tcPr>
            <w:tcW w:w="2296" w:type="dxa"/>
            <w:vMerge/>
            <w:tcBorders>
              <w:top w:val="single" w:sz="4" w:space="0" w:color="000000"/>
              <w:left w:val="single" w:sz="4" w:space="0" w:color="000000"/>
              <w:bottom w:val="single" w:sz="4" w:space="0" w:color="000000"/>
              <w:right w:val="single" w:sz="4" w:space="0" w:color="000000"/>
            </w:tcBorders>
            <w:vAlign w:val="center"/>
          </w:tcPr>
          <w:p w14:paraId="70309AB3" w14:textId="77777777" w:rsidR="00D951E2" w:rsidRPr="00D951E2" w:rsidRDefault="00D951E2" w:rsidP="00D951E2">
            <w:pPr>
              <w:jc w:val="both"/>
              <w:rPr>
                <w:rFonts w:asciiTheme="majorHAnsi" w:hAnsiTheme="majorHAnsi" w:cstheme="majorHAnsi"/>
                <w:b/>
                <w:bCs/>
                <w:iCs/>
              </w:rPr>
            </w:pPr>
          </w:p>
        </w:tc>
        <w:tc>
          <w:tcPr>
            <w:tcW w:w="975" w:type="dxa"/>
            <w:vMerge/>
            <w:tcBorders>
              <w:top w:val="single" w:sz="4" w:space="0" w:color="000000"/>
              <w:left w:val="single" w:sz="4" w:space="0" w:color="000000"/>
              <w:bottom w:val="single" w:sz="4" w:space="0" w:color="000000"/>
              <w:right w:val="single" w:sz="4" w:space="0" w:color="000000"/>
            </w:tcBorders>
            <w:vAlign w:val="center"/>
          </w:tcPr>
          <w:p w14:paraId="13ABC575" w14:textId="77777777" w:rsidR="00D951E2" w:rsidRPr="00D951E2" w:rsidRDefault="00D951E2" w:rsidP="00D951E2">
            <w:pPr>
              <w:jc w:val="both"/>
              <w:rPr>
                <w:rFonts w:asciiTheme="majorHAnsi" w:hAnsiTheme="majorHAnsi" w:cstheme="majorHAnsi"/>
                <w:b/>
                <w:bCs/>
                <w:iCs/>
              </w:rPr>
            </w:pPr>
          </w:p>
        </w:tc>
        <w:tc>
          <w:tcPr>
            <w:tcW w:w="698" w:type="dxa"/>
            <w:tcBorders>
              <w:top w:val="single" w:sz="4" w:space="0" w:color="000000"/>
              <w:left w:val="single" w:sz="4" w:space="0" w:color="000000"/>
              <w:bottom w:val="single" w:sz="4" w:space="0" w:color="000000"/>
              <w:right w:val="single" w:sz="4" w:space="0" w:color="000000"/>
            </w:tcBorders>
            <w:vAlign w:val="center"/>
          </w:tcPr>
          <w:p w14:paraId="3FC2D9DE"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A.3</w:t>
            </w:r>
          </w:p>
        </w:tc>
        <w:tc>
          <w:tcPr>
            <w:tcW w:w="2886" w:type="dxa"/>
            <w:tcBorders>
              <w:top w:val="single" w:sz="4" w:space="0" w:color="000000"/>
              <w:left w:val="single" w:sz="4" w:space="0" w:color="000000"/>
              <w:bottom w:val="single" w:sz="4" w:space="0" w:color="000000"/>
              <w:right w:val="single" w:sz="4" w:space="0" w:color="000000"/>
            </w:tcBorders>
            <w:vAlign w:val="center"/>
          </w:tcPr>
          <w:p w14:paraId="312CF49D" w14:textId="77777777" w:rsidR="00D951E2" w:rsidRPr="00D951E2" w:rsidRDefault="00D951E2" w:rsidP="00D951E2">
            <w:pPr>
              <w:jc w:val="both"/>
              <w:rPr>
                <w:rFonts w:asciiTheme="majorHAnsi" w:hAnsiTheme="majorHAnsi" w:cstheme="majorHAnsi"/>
              </w:rPr>
            </w:pPr>
            <w:r w:rsidRPr="00D951E2">
              <w:rPr>
                <w:rFonts w:asciiTheme="majorHAnsi" w:hAnsiTheme="majorHAnsi" w:cstheme="majorHAnsi"/>
              </w:rPr>
              <w:t>Attuazione di percorsi atti a favorire l’interazione con la rete territoriale dei servizi con particolare riferimento a progetti di continuità educativa per il “dopo nido”, che sostengano in un processo unitario lo sviluppo di un sistema integrato, collaborando attraverso la proposta di attività di progettazione e di formazione comuni (anche con eventuale coinvolgimento di enti e associazioni del territorio).</w:t>
            </w:r>
          </w:p>
        </w:tc>
        <w:tc>
          <w:tcPr>
            <w:tcW w:w="803" w:type="dxa"/>
            <w:tcBorders>
              <w:top w:val="single" w:sz="4" w:space="0" w:color="000000"/>
              <w:left w:val="single" w:sz="4" w:space="0" w:color="000000"/>
              <w:bottom w:val="single" w:sz="4" w:space="0" w:color="000000"/>
              <w:right w:val="single" w:sz="4" w:space="0" w:color="000000"/>
            </w:tcBorders>
            <w:vAlign w:val="center"/>
          </w:tcPr>
          <w:p w14:paraId="24B0F225"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5</w:t>
            </w:r>
          </w:p>
        </w:tc>
        <w:tc>
          <w:tcPr>
            <w:tcW w:w="803" w:type="dxa"/>
            <w:tcBorders>
              <w:top w:val="single" w:sz="4" w:space="0" w:color="000000"/>
              <w:left w:val="single" w:sz="4" w:space="0" w:color="000000"/>
              <w:bottom w:val="single" w:sz="4" w:space="0" w:color="000000"/>
              <w:right w:val="single" w:sz="4" w:space="0" w:color="000000"/>
            </w:tcBorders>
            <w:vAlign w:val="center"/>
          </w:tcPr>
          <w:p w14:paraId="33463761" w14:textId="77777777" w:rsidR="00D951E2" w:rsidRPr="00D951E2" w:rsidRDefault="00D951E2" w:rsidP="00D951E2">
            <w:pPr>
              <w:jc w:val="both"/>
              <w:rPr>
                <w:rFonts w:asciiTheme="majorHAnsi" w:hAnsiTheme="majorHAnsi" w:cstheme="majorHAnsi"/>
                <w:b/>
                <w:bCs/>
                <w:iCs/>
              </w:rPr>
            </w:pPr>
          </w:p>
        </w:tc>
        <w:tc>
          <w:tcPr>
            <w:tcW w:w="803" w:type="dxa"/>
            <w:tcBorders>
              <w:top w:val="single" w:sz="4" w:space="0" w:color="000000"/>
              <w:left w:val="single" w:sz="4" w:space="0" w:color="000000"/>
              <w:bottom w:val="single" w:sz="4" w:space="0" w:color="000000"/>
              <w:right w:val="single" w:sz="4" w:space="0" w:color="000000"/>
            </w:tcBorders>
            <w:vAlign w:val="center"/>
          </w:tcPr>
          <w:p w14:paraId="27C75816" w14:textId="77777777" w:rsidR="00D951E2" w:rsidRPr="00D951E2" w:rsidRDefault="00D951E2" w:rsidP="00D951E2">
            <w:pPr>
              <w:jc w:val="both"/>
              <w:rPr>
                <w:rFonts w:asciiTheme="majorHAnsi" w:hAnsiTheme="majorHAnsi" w:cstheme="majorHAnsi"/>
                <w:b/>
                <w:bCs/>
                <w:iCs/>
              </w:rPr>
            </w:pPr>
          </w:p>
        </w:tc>
      </w:tr>
      <w:tr w:rsidR="007A1340" w:rsidRPr="00D951E2" w14:paraId="641DCB3B" w14:textId="77777777" w:rsidTr="000D7FA6">
        <w:trPr>
          <w:trHeight w:val="1330"/>
        </w:trPr>
        <w:tc>
          <w:tcPr>
            <w:tcW w:w="460" w:type="dxa"/>
            <w:vMerge w:val="restart"/>
            <w:tcBorders>
              <w:top w:val="single" w:sz="4" w:space="0" w:color="000000"/>
              <w:left w:val="single" w:sz="4" w:space="0" w:color="000000"/>
              <w:right w:val="single" w:sz="4" w:space="0" w:color="000000"/>
            </w:tcBorders>
            <w:vAlign w:val="center"/>
          </w:tcPr>
          <w:p w14:paraId="60BD1752"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B</w:t>
            </w:r>
          </w:p>
        </w:tc>
        <w:tc>
          <w:tcPr>
            <w:tcW w:w="2296" w:type="dxa"/>
            <w:vMerge w:val="restart"/>
            <w:tcBorders>
              <w:top w:val="single" w:sz="4" w:space="0" w:color="000000"/>
              <w:left w:val="single" w:sz="4" w:space="0" w:color="000000"/>
              <w:right w:val="single" w:sz="4" w:space="0" w:color="000000"/>
            </w:tcBorders>
            <w:vAlign w:val="center"/>
          </w:tcPr>
          <w:p w14:paraId="5134A1C5"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PASTI E SERVIZI AUSILIARI</w:t>
            </w:r>
          </w:p>
        </w:tc>
        <w:tc>
          <w:tcPr>
            <w:tcW w:w="975" w:type="dxa"/>
            <w:vMerge w:val="restart"/>
            <w:tcBorders>
              <w:top w:val="single" w:sz="4" w:space="0" w:color="000000"/>
              <w:left w:val="single" w:sz="4" w:space="0" w:color="000000"/>
              <w:right w:val="single" w:sz="4" w:space="0" w:color="000000"/>
            </w:tcBorders>
            <w:vAlign w:val="center"/>
          </w:tcPr>
          <w:p w14:paraId="6B2EDB81"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25</w:t>
            </w:r>
          </w:p>
        </w:tc>
        <w:tc>
          <w:tcPr>
            <w:tcW w:w="698" w:type="dxa"/>
            <w:tcBorders>
              <w:top w:val="single" w:sz="4" w:space="0" w:color="000000"/>
              <w:left w:val="single" w:sz="4" w:space="0" w:color="000000"/>
              <w:bottom w:val="single" w:sz="4" w:space="0" w:color="000000"/>
              <w:right w:val="single" w:sz="4" w:space="0" w:color="000000"/>
            </w:tcBorders>
            <w:vAlign w:val="center"/>
          </w:tcPr>
          <w:p w14:paraId="7FA7D500"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B.1</w:t>
            </w:r>
          </w:p>
        </w:tc>
        <w:tc>
          <w:tcPr>
            <w:tcW w:w="2886" w:type="dxa"/>
            <w:tcBorders>
              <w:top w:val="single" w:sz="4" w:space="0" w:color="000000"/>
              <w:left w:val="single" w:sz="4" w:space="0" w:color="000000"/>
              <w:bottom w:val="single" w:sz="4" w:space="0" w:color="000000"/>
              <w:right w:val="single" w:sz="4" w:space="0" w:color="000000"/>
            </w:tcBorders>
            <w:vAlign w:val="center"/>
          </w:tcPr>
          <w:p w14:paraId="64A36BFD" w14:textId="77777777" w:rsidR="00D951E2" w:rsidRPr="00D951E2" w:rsidRDefault="00D951E2" w:rsidP="00D951E2">
            <w:pPr>
              <w:jc w:val="both"/>
              <w:rPr>
                <w:rFonts w:asciiTheme="majorHAnsi" w:hAnsiTheme="majorHAnsi" w:cstheme="majorHAnsi"/>
              </w:rPr>
            </w:pPr>
            <w:r w:rsidRPr="00D951E2">
              <w:rPr>
                <w:rFonts w:asciiTheme="majorHAnsi" w:hAnsiTheme="majorHAnsi" w:cstheme="majorHAnsi"/>
              </w:rPr>
              <w:t xml:space="preserve">Descrizione delle modalità di fornitura delle derrate, preparazione cibi e somministrazione degli stessi, avendo particolare riguardo alle previsioni dei CAM applicabili, alle </w:t>
            </w:r>
            <w:r w:rsidRPr="00D951E2">
              <w:rPr>
                <w:rFonts w:asciiTheme="majorHAnsi" w:hAnsiTheme="majorHAnsi" w:cstheme="majorHAnsi"/>
              </w:rPr>
              <w:lastRenderedPageBreak/>
              <w:t>forniture di prodotti BIO e KM0.</w:t>
            </w:r>
          </w:p>
        </w:tc>
        <w:tc>
          <w:tcPr>
            <w:tcW w:w="803" w:type="dxa"/>
            <w:tcBorders>
              <w:top w:val="single" w:sz="4" w:space="0" w:color="000000"/>
              <w:left w:val="single" w:sz="4" w:space="0" w:color="000000"/>
              <w:bottom w:val="single" w:sz="4" w:space="0" w:color="000000"/>
              <w:right w:val="single" w:sz="4" w:space="0" w:color="000000"/>
            </w:tcBorders>
            <w:vAlign w:val="center"/>
          </w:tcPr>
          <w:p w14:paraId="6C72C703"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lastRenderedPageBreak/>
              <w:t>15</w:t>
            </w:r>
          </w:p>
        </w:tc>
        <w:tc>
          <w:tcPr>
            <w:tcW w:w="803" w:type="dxa"/>
            <w:tcBorders>
              <w:top w:val="single" w:sz="4" w:space="0" w:color="000000"/>
              <w:left w:val="single" w:sz="4" w:space="0" w:color="000000"/>
              <w:bottom w:val="single" w:sz="4" w:space="0" w:color="000000"/>
              <w:right w:val="single" w:sz="4" w:space="0" w:color="000000"/>
            </w:tcBorders>
            <w:vAlign w:val="center"/>
          </w:tcPr>
          <w:p w14:paraId="0A49B2D5" w14:textId="77777777" w:rsidR="00D951E2" w:rsidRPr="00D951E2" w:rsidRDefault="00D951E2" w:rsidP="00D951E2">
            <w:pPr>
              <w:jc w:val="both"/>
              <w:rPr>
                <w:rFonts w:asciiTheme="majorHAnsi" w:hAnsiTheme="majorHAnsi" w:cstheme="majorHAnsi"/>
                <w:b/>
                <w:bCs/>
                <w:iCs/>
              </w:rPr>
            </w:pPr>
          </w:p>
        </w:tc>
        <w:tc>
          <w:tcPr>
            <w:tcW w:w="803" w:type="dxa"/>
            <w:tcBorders>
              <w:top w:val="single" w:sz="4" w:space="0" w:color="000000"/>
              <w:left w:val="single" w:sz="4" w:space="0" w:color="000000"/>
              <w:bottom w:val="single" w:sz="4" w:space="0" w:color="000000"/>
              <w:right w:val="single" w:sz="4" w:space="0" w:color="000000"/>
            </w:tcBorders>
            <w:vAlign w:val="center"/>
          </w:tcPr>
          <w:p w14:paraId="485E48DB" w14:textId="77777777" w:rsidR="00D951E2" w:rsidRPr="00D951E2" w:rsidRDefault="00D951E2" w:rsidP="00D951E2">
            <w:pPr>
              <w:jc w:val="both"/>
              <w:rPr>
                <w:rFonts w:asciiTheme="majorHAnsi" w:hAnsiTheme="majorHAnsi" w:cstheme="majorHAnsi"/>
                <w:b/>
                <w:bCs/>
                <w:iCs/>
              </w:rPr>
            </w:pPr>
          </w:p>
        </w:tc>
      </w:tr>
      <w:tr w:rsidR="007A1340" w:rsidRPr="00D951E2" w14:paraId="597F0DA9" w14:textId="77777777" w:rsidTr="000D7FA6">
        <w:trPr>
          <w:trHeight w:val="1330"/>
        </w:trPr>
        <w:tc>
          <w:tcPr>
            <w:tcW w:w="460" w:type="dxa"/>
            <w:vMerge/>
            <w:tcBorders>
              <w:left w:val="single" w:sz="4" w:space="0" w:color="000000"/>
              <w:bottom w:val="single" w:sz="4" w:space="0" w:color="000000"/>
              <w:right w:val="single" w:sz="4" w:space="0" w:color="000000"/>
            </w:tcBorders>
            <w:vAlign w:val="center"/>
          </w:tcPr>
          <w:p w14:paraId="660A6FD2" w14:textId="77777777" w:rsidR="00D951E2" w:rsidRPr="00D951E2" w:rsidRDefault="00D951E2" w:rsidP="00D951E2">
            <w:pPr>
              <w:jc w:val="both"/>
              <w:rPr>
                <w:rFonts w:asciiTheme="majorHAnsi" w:hAnsiTheme="majorHAnsi" w:cstheme="majorHAnsi"/>
                <w:b/>
                <w:bCs/>
                <w:iCs/>
              </w:rPr>
            </w:pPr>
          </w:p>
        </w:tc>
        <w:tc>
          <w:tcPr>
            <w:tcW w:w="2296" w:type="dxa"/>
            <w:vMerge/>
            <w:tcBorders>
              <w:left w:val="single" w:sz="4" w:space="0" w:color="000000"/>
              <w:bottom w:val="single" w:sz="4" w:space="0" w:color="000000"/>
              <w:right w:val="single" w:sz="4" w:space="0" w:color="000000"/>
            </w:tcBorders>
            <w:vAlign w:val="center"/>
          </w:tcPr>
          <w:p w14:paraId="3970BFE1" w14:textId="77777777" w:rsidR="00D951E2" w:rsidRPr="00D951E2" w:rsidRDefault="00D951E2" w:rsidP="00D951E2">
            <w:pPr>
              <w:jc w:val="both"/>
              <w:rPr>
                <w:rFonts w:asciiTheme="majorHAnsi" w:hAnsiTheme="majorHAnsi" w:cstheme="majorHAnsi"/>
                <w:b/>
                <w:bCs/>
                <w:iCs/>
              </w:rPr>
            </w:pPr>
          </w:p>
        </w:tc>
        <w:tc>
          <w:tcPr>
            <w:tcW w:w="975" w:type="dxa"/>
            <w:vMerge/>
            <w:tcBorders>
              <w:left w:val="single" w:sz="4" w:space="0" w:color="000000"/>
              <w:bottom w:val="single" w:sz="4" w:space="0" w:color="000000"/>
              <w:right w:val="single" w:sz="4" w:space="0" w:color="000000"/>
            </w:tcBorders>
            <w:vAlign w:val="center"/>
          </w:tcPr>
          <w:p w14:paraId="357DE67E" w14:textId="77777777" w:rsidR="00D951E2" w:rsidRPr="00D951E2" w:rsidRDefault="00D951E2" w:rsidP="00D951E2">
            <w:pPr>
              <w:jc w:val="both"/>
              <w:rPr>
                <w:rFonts w:asciiTheme="majorHAnsi" w:hAnsiTheme="majorHAnsi" w:cstheme="majorHAnsi"/>
                <w:b/>
                <w:bCs/>
                <w:iCs/>
              </w:rPr>
            </w:pPr>
          </w:p>
        </w:tc>
        <w:tc>
          <w:tcPr>
            <w:tcW w:w="698" w:type="dxa"/>
            <w:tcBorders>
              <w:top w:val="single" w:sz="4" w:space="0" w:color="000000"/>
              <w:left w:val="single" w:sz="4" w:space="0" w:color="000000"/>
              <w:bottom w:val="single" w:sz="4" w:space="0" w:color="000000"/>
              <w:right w:val="single" w:sz="4" w:space="0" w:color="000000"/>
            </w:tcBorders>
            <w:vAlign w:val="center"/>
          </w:tcPr>
          <w:p w14:paraId="3A003BC0"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B.2</w:t>
            </w:r>
          </w:p>
        </w:tc>
        <w:tc>
          <w:tcPr>
            <w:tcW w:w="2886" w:type="dxa"/>
            <w:tcBorders>
              <w:top w:val="single" w:sz="4" w:space="0" w:color="000000"/>
              <w:left w:val="single" w:sz="4" w:space="0" w:color="000000"/>
              <w:bottom w:val="single" w:sz="4" w:space="0" w:color="000000"/>
              <w:right w:val="single" w:sz="4" w:space="0" w:color="000000"/>
            </w:tcBorders>
            <w:vAlign w:val="center"/>
          </w:tcPr>
          <w:p w14:paraId="360115A2" w14:textId="77777777" w:rsidR="00D951E2" w:rsidRPr="00D951E2" w:rsidRDefault="00D951E2" w:rsidP="00D951E2">
            <w:pPr>
              <w:jc w:val="both"/>
              <w:rPr>
                <w:rFonts w:asciiTheme="majorHAnsi" w:hAnsiTheme="majorHAnsi" w:cstheme="majorHAnsi"/>
              </w:rPr>
            </w:pPr>
            <w:r w:rsidRPr="00D951E2">
              <w:rPr>
                <w:rFonts w:asciiTheme="majorHAnsi" w:hAnsiTheme="majorHAnsi" w:cstheme="majorHAnsi"/>
              </w:rPr>
              <w:t>Descrizione delle modalità di realizzazione dei servizi ausiliari (cura e igiene dei locali, preparazione e riassetto dei locali), avendo particolare riguardo alle previsioni dei CAM applicabili.</w:t>
            </w:r>
          </w:p>
        </w:tc>
        <w:tc>
          <w:tcPr>
            <w:tcW w:w="803" w:type="dxa"/>
            <w:tcBorders>
              <w:top w:val="single" w:sz="4" w:space="0" w:color="000000"/>
              <w:left w:val="single" w:sz="4" w:space="0" w:color="000000"/>
              <w:bottom w:val="single" w:sz="4" w:space="0" w:color="000000"/>
              <w:right w:val="single" w:sz="4" w:space="0" w:color="000000"/>
            </w:tcBorders>
            <w:vAlign w:val="center"/>
          </w:tcPr>
          <w:p w14:paraId="62A7BC5E"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10</w:t>
            </w:r>
          </w:p>
        </w:tc>
        <w:tc>
          <w:tcPr>
            <w:tcW w:w="803" w:type="dxa"/>
            <w:tcBorders>
              <w:top w:val="single" w:sz="4" w:space="0" w:color="000000"/>
              <w:left w:val="single" w:sz="4" w:space="0" w:color="000000"/>
              <w:bottom w:val="single" w:sz="4" w:space="0" w:color="000000"/>
              <w:right w:val="single" w:sz="4" w:space="0" w:color="000000"/>
            </w:tcBorders>
            <w:vAlign w:val="center"/>
          </w:tcPr>
          <w:p w14:paraId="57F25E27" w14:textId="77777777" w:rsidR="00D951E2" w:rsidRPr="00D951E2" w:rsidRDefault="00D951E2" w:rsidP="00D951E2">
            <w:pPr>
              <w:jc w:val="both"/>
              <w:rPr>
                <w:rFonts w:asciiTheme="majorHAnsi" w:hAnsiTheme="majorHAnsi" w:cstheme="majorHAnsi"/>
                <w:b/>
                <w:bCs/>
                <w:iCs/>
              </w:rPr>
            </w:pPr>
          </w:p>
        </w:tc>
        <w:tc>
          <w:tcPr>
            <w:tcW w:w="803" w:type="dxa"/>
            <w:tcBorders>
              <w:top w:val="single" w:sz="4" w:space="0" w:color="000000"/>
              <w:left w:val="single" w:sz="4" w:space="0" w:color="000000"/>
              <w:bottom w:val="single" w:sz="4" w:space="0" w:color="000000"/>
              <w:right w:val="single" w:sz="4" w:space="0" w:color="000000"/>
            </w:tcBorders>
            <w:vAlign w:val="center"/>
          </w:tcPr>
          <w:p w14:paraId="0812EF9D" w14:textId="77777777" w:rsidR="00D951E2" w:rsidRPr="00D951E2" w:rsidRDefault="00D951E2" w:rsidP="00D951E2">
            <w:pPr>
              <w:jc w:val="both"/>
              <w:rPr>
                <w:rFonts w:asciiTheme="majorHAnsi" w:hAnsiTheme="majorHAnsi" w:cstheme="majorHAnsi"/>
                <w:b/>
                <w:bCs/>
                <w:iCs/>
              </w:rPr>
            </w:pPr>
          </w:p>
        </w:tc>
      </w:tr>
      <w:tr w:rsidR="007A1340" w:rsidRPr="00D951E2" w14:paraId="75DB0EBE" w14:textId="77777777" w:rsidTr="000D7FA6">
        <w:trPr>
          <w:trHeight w:val="1330"/>
        </w:trPr>
        <w:tc>
          <w:tcPr>
            <w:tcW w:w="460" w:type="dxa"/>
            <w:tcBorders>
              <w:top w:val="single" w:sz="4" w:space="0" w:color="000000"/>
              <w:left w:val="single" w:sz="4" w:space="0" w:color="000000"/>
              <w:bottom w:val="single" w:sz="4" w:space="0" w:color="000000"/>
              <w:right w:val="single" w:sz="4" w:space="0" w:color="000000"/>
            </w:tcBorders>
            <w:vAlign w:val="center"/>
          </w:tcPr>
          <w:p w14:paraId="7A3BEC00"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C</w:t>
            </w:r>
          </w:p>
        </w:tc>
        <w:tc>
          <w:tcPr>
            <w:tcW w:w="2296" w:type="dxa"/>
            <w:tcBorders>
              <w:top w:val="single" w:sz="4" w:space="0" w:color="000000"/>
              <w:left w:val="single" w:sz="4" w:space="0" w:color="000000"/>
              <w:bottom w:val="single" w:sz="4" w:space="0" w:color="000000"/>
              <w:right w:val="single" w:sz="4" w:space="0" w:color="000000"/>
            </w:tcBorders>
            <w:vAlign w:val="center"/>
          </w:tcPr>
          <w:p w14:paraId="67D9B382"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GESTIONE AMMINISTRATIVA</w:t>
            </w:r>
          </w:p>
        </w:tc>
        <w:tc>
          <w:tcPr>
            <w:tcW w:w="975" w:type="dxa"/>
            <w:tcBorders>
              <w:top w:val="single" w:sz="4" w:space="0" w:color="000000"/>
              <w:left w:val="single" w:sz="4" w:space="0" w:color="000000"/>
              <w:bottom w:val="single" w:sz="4" w:space="0" w:color="000000"/>
              <w:right w:val="single" w:sz="4" w:space="0" w:color="000000"/>
            </w:tcBorders>
            <w:vAlign w:val="center"/>
          </w:tcPr>
          <w:p w14:paraId="25C877A4"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15</w:t>
            </w:r>
          </w:p>
        </w:tc>
        <w:tc>
          <w:tcPr>
            <w:tcW w:w="698" w:type="dxa"/>
            <w:tcBorders>
              <w:top w:val="single" w:sz="4" w:space="0" w:color="000000"/>
              <w:left w:val="single" w:sz="4" w:space="0" w:color="000000"/>
              <w:bottom w:val="single" w:sz="4" w:space="0" w:color="000000"/>
              <w:right w:val="single" w:sz="4" w:space="0" w:color="000000"/>
            </w:tcBorders>
            <w:vAlign w:val="center"/>
          </w:tcPr>
          <w:p w14:paraId="16A29A42"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C.1</w:t>
            </w:r>
          </w:p>
        </w:tc>
        <w:tc>
          <w:tcPr>
            <w:tcW w:w="2886" w:type="dxa"/>
            <w:tcBorders>
              <w:top w:val="single" w:sz="4" w:space="0" w:color="000000"/>
              <w:left w:val="single" w:sz="4" w:space="0" w:color="000000"/>
              <w:bottom w:val="single" w:sz="4" w:space="0" w:color="000000"/>
              <w:right w:val="single" w:sz="4" w:space="0" w:color="000000"/>
            </w:tcBorders>
            <w:vAlign w:val="center"/>
          </w:tcPr>
          <w:p w14:paraId="77049AFC" w14:textId="77777777" w:rsidR="00D951E2" w:rsidRPr="00D951E2" w:rsidRDefault="00D951E2" w:rsidP="00D951E2">
            <w:pPr>
              <w:jc w:val="both"/>
              <w:rPr>
                <w:rFonts w:asciiTheme="majorHAnsi" w:hAnsiTheme="majorHAnsi" w:cstheme="majorHAnsi"/>
                <w:iCs/>
              </w:rPr>
            </w:pPr>
            <w:r w:rsidRPr="00D951E2">
              <w:rPr>
                <w:rFonts w:asciiTheme="majorHAnsi" w:hAnsiTheme="majorHAnsi" w:cstheme="majorHAnsi"/>
                <w:iCs/>
              </w:rPr>
              <w:t>Descrizione delle modalità proposte per la gestione amministrativa di tutto l’iter del servizio (a titolo esemplificativo: raccolta domande, elaborazione graduatorie, calcolo rette e fatturazione, modalità di comunicazione con le famiglie e di raccordo con la stazione appaltante, modalità di promozione del servizio).</w:t>
            </w:r>
          </w:p>
        </w:tc>
        <w:tc>
          <w:tcPr>
            <w:tcW w:w="803" w:type="dxa"/>
            <w:tcBorders>
              <w:top w:val="single" w:sz="4" w:space="0" w:color="000000"/>
              <w:left w:val="single" w:sz="4" w:space="0" w:color="000000"/>
              <w:bottom w:val="single" w:sz="4" w:space="0" w:color="000000"/>
              <w:right w:val="single" w:sz="4" w:space="0" w:color="000000"/>
            </w:tcBorders>
            <w:vAlign w:val="center"/>
          </w:tcPr>
          <w:p w14:paraId="06BA9A8E"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15</w:t>
            </w:r>
          </w:p>
        </w:tc>
        <w:tc>
          <w:tcPr>
            <w:tcW w:w="803" w:type="dxa"/>
            <w:tcBorders>
              <w:top w:val="single" w:sz="4" w:space="0" w:color="000000"/>
              <w:left w:val="single" w:sz="4" w:space="0" w:color="000000"/>
              <w:bottom w:val="single" w:sz="4" w:space="0" w:color="000000"/>
              <w:right w:val="single" w:sz="4" w:space="0" w:color="000000"/>
            </w:tcBorders>
            <w:vAlign w:val="center"/>
          </w:tcPr>
          <w:p w14:paraId="3FC7E75E" w14:textId="77777777" w:rsidR="00D951E2" w:rsidRPr="00D951E2" w:rsidRDefault="00D951E2" w:rsidP="00D951E2">
            <w:pPr>
              <w:jc w:val="both"/>
              <w:rPr>
                <w:rFonts w:asciiTheme="majorHAnsi" w:hAnsiTheme="majorHAnsi" w:cstheme="majorHAnsi"/>
                <w:b/>
                <w:bCs/>
                <w:iCs/>
              </w:rPr>
            </w:pPr>
          </w:p>
        </w:tc>
        <w:tc>
          <w:tcPr>
            <w:tcW w:w="803" w:type="dxa"/>
            <w:tcBorders>
              <w:top w:val="single" w:sz="4" w:space="0" w:color="000000"/>
              <w:left w:val="single" w:sz="4" w:space="0" w:color="000000"/>
              <w:bottom w:val="single" w:sz="4" w:space="0" w:color="000000"/>
              <w:right w:val="single" w:sz="4" w:space="0" w:color="000000"/>
            </w:tcBorders>
            <w:vAlign w:val="center"/>
          </w:tcPr>
          <w:p w14:paraId="7303DA4F" w14:textId="77777777" w:rsidR="00D951E2" w:rsidRPr="00D951E2" w:rsidRDefault="00D951E2" w:rsidP="00D951E2">
            <w:pPr>
              <w:jc w:val="both"/>
              <w:rPr>
                <w:rFonts w:asciiTheme="majorHAnsi" w:hAnsiTheme="majorHAnsi" w:cstheme="majorHAnsi"/>
                <w:b/>
                <w:bCs/>
                <w:iCs/>
              </w:rPr>
            </w:pPr>
          </w:p>
        </w:tc>
      </w:tr>
      <w:tr w:rsidR="007A1340" w:rsidRPr="00D951E2" w14:paraId="1101756E" w14:textId="77777777" w:rsidTr="000D7FA6">
        <w:trPr>
          <w:trHeight w:val="1330"/>
        </w:trPr>
        <w:tc>
          <w:tcPr>
            <w:tcW w:w="460" w:type="dxa"/>
            <w:tcBorders>
              <w:top w:val="single" w:sz="4" w:space="0" w:color="000000"/>
              <w:left w:val="single" w:sz="4" w:space="0" w:color="000000"/>
              <w:bottom w:val="single" w:sz="4" w:space="0" w:color="000000"/>
              <w:right w:val="single" w:sz="4" w:space="0" w:color="000000"/>
            </w:tcBorders>
            <w:vAlign w:val="center"/>
          </w:tcPr>
          <w:p w14:paraId="6FD18D93"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D</w:t>
            </w:r>
          </w:p>
        </w:tc>
        <w:tc>
          <w:tcPr>
            <w:tcW w:w="2296" w:type="dxa"/>
            <w:tcBorders>
              <w:top w:val="single" w:sz="4" w:space="0" w:color="000000"/>
              <w:left w:val="single" w:sz="4" w:space="0" w:color="000000"/>
              <w:bottom w:val="single" w:sz="4" w:space="0" w:color="000000"/>
              <w:right w:val="single" w:sz="4" w:space="0" w:color="000000"/>
            </w:tcBorders>
            <w:vAlign w:val="center"/>
          </w:tcPr>
          <w:p w14:paraId="553138A9" w14:textId="77777777" w:rsidR="00D951E2" w:rsidRPr="00D951E2" w:rsidRDefault="00D951E2" w:rsidP="00D951E2">
            <w:pPr>
              <w:jc w:val="both"/>
              <w:rPr>
                <w:rFonts w:asciiTheme="majorHAnsi" w:hAnsiTheme="majorHAnsi" w:cstheme="majorHAnsi"/>
                <w:b/>
                <w:bCs/>
                <w:iCs/>
              </w:rPr>
            </w:pPr>
            <w:r w:rsidRPr="009D115E">
              <w:rPr>
                <w:rFonts w:asciiTheme="majorHAnsi" w:hAnsiTheme="majorHAnsi" w:cstheme="majorHAnsi"/>
                <w:b/>
                <w:bCs/>
                <w:iCs/>
              </w:rPr>
              <w:t>GESTIONE ATTIVITA’ MANUTENTIVE</w:t>
            </w:r>
          </w:p>
        </w:tc>
        <w:tc>
          <w:tcPr>
            <w:tcW w:w="975" w:type="dxa"/>
            <w:tcBorders>
              <w:top w:val="single" w:sz="4" w:space="0" w:color="000000"/>
              <w:left w:val="single" w:sz="4" w:space="0" w:color="000000"/>
              <w:bottom w:val="single" w:sz="4" w:space="0" w:color="000000"/>
              <w:right w:val="single" w:sz="4" w:space="0" w:color="000000"/>
            </w:tcBorders>
            <w:vAlign w:val="center"/>
          </w:tcPr>
          <w:p w14:paraId="5C5799C3"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10</w:t>
            </w:r>
          </w:p>
        </w:tc>
        <w:tc>
          <w:tcPr>
            <w:tcW w:w="698" w:type="dxa"/>
            <w:tcBorders>
              <w:top w:val="single" w:sz="4" w:space="0" w:color="000000"/>
              <w:left w:val="single" w:sz="4" w:space="0" w:color="000000"/>
              <w:bottom w:val="single" w:sz="4" w:space="0" w:color="000000"/>
              <w:right w:val="single" w:sz="4" w:space="0" w:color="000000"/>
            </w:tcBorders>
            <w:vAlign w:val="center"/>
          </w:tcPr>
          <w:p w14:paraId="27B2BD09"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D.1</w:t>
            </w:r>
          </w:p>
        </w:tc>
        <w:tc>
          <w:tcPr>
            <w:tcW w:w="2886" w:type="dxa"/>
            <w:tcBorders>
              <w:top w:val="single" w:sz="4" w:space="0" w:color="000000"/>
              <w:left w:val="single" w:sz="4" w:space="0" w:color="000000"/>
              <w:bottom w:val="single" w:sz="4" w:space="0" w:color="000000"/>
              <w:right w:val="single" w:sz="4" w:space="0" w:color="000000"/>
            </w:tcBorders>
            <w:vAlign w:val="center"/>
          </w:tcPr>
          <w:p w14:paraId="0F0ACB07" w14:textId="594279E5" w:rsidR="00D951E2" w:rsidRPr="00D951E2" w:rsidRDefault="00D951E2" w:rsidP="00D951E2">
            <w:pPr>
              <w:jc w:val="both"/>
              <w:rPr>
                <w:rFonts w:asciiTheme="majorHAnsi" w:hAnsiTheme="majorHAnsi" w:cstheme="majorHAnsi"/>
                <w:iCs/>
              </w:rPr>
            </w:pPr>
            <w:r w:rsidRPr="00913B29">
              <w:rPr>
                <w:rFonts w:asciiTheme="majorHAnsi" w:hAnsiTheme="majorHAnsi" w:cstheme="majorHAnsi"/>
                <w:iCs/>
              </w:rPr>
              <w:t>Descrizione delle modalità proposte per l’esecuzione delle attività di manutenzione previste a capitolato, comprensive delle modalità di raccordo con la committenza</w:t>
            </w:r>
            <w:r w:rsidRPr="00D951E2">
              <w:rPr>
                <w:rFonts w:asciiTheme="majorHAnsi" w:hAnsiTheme="majorHAnsi" w:cstheme="majorHAnsi"/>
                <w:iCs/>
              </w:rPr>
              <w:t>.</w:t>
            </w:r>
            <w:r w:rsidR="00913B29">
              <w:rPr>
                <w:rFonts w:asciiTheme="majorHAnsi" w:hAnsiTheme="majorHAnsi" w:cstheme="majorHAnsi"/>
                <w:iCs/>
              </w:rPr>
              <w:t xml:space="preserve"> </w:t>
            </w:r>
          </w:p>
        </w:tc>
        <w:tc>
          <w:tcPr>
            <w:tcW w:w="803" w:type="dxa"/>
            <w:tcBorders>
              <w:top w:val="single" w:sz="4" w:space="0" w:color="000000"/>
              <w:left w:val="single" w:sz="4" w:space="0" w:color="000000"/>
              <w:bottom w:val="single" w:sz="4" w:space="0" w:color="000000"/>
              <w:right w:val="single" w:sz="4" w:space="0" w:color="000000"/>
            </w:tcBorders>
            <w:vAlign w:val="center"/>
          </w:tcPr>
          <w:p w14:paraId="2C1B8D55"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10</w:t>
            </w:r>
          </w:p>
        </w:tc>
        <w:tc>
          <w:tcPr>
            <w:tcW w:w="803" w:type="dxa"/>
            <w:tcBorders>
              <w:top w:val="single" w:sz="4" w:space="0" w:color="000000"/>
              <w:left w:val="single" w:sz="4" w:space="0" w:color="000000"/>
              <w:bottom w:val="single" w:sz="4" w:space="0" w:color="000000"/>
              <w:right w:val="single" w:sz="4" w:space="0" w:color="000000"/>
            </w:tcBorders>
            <w:vAlign w:val="center"/>
          </w:tcPr>
          <w:p w14:paraId="3809BBCA" w14:textId="77777777" w:rsidR="00D951E2" w:rsidRPr="00D951E2" w:rsidRDefault="00D951E2" w:rsidP="00D951E2">
            <w:pPr>
              <w:jc w:val="both"/>
              <w:rPr>
                <w:rFonts w:asciiTheme="majorHAnsi" w:hAnsiTheme="majorHAnsi" w:cstheme="majorHAnsi"/>
                <w:b/>
                <w:bCs/>
                <w:iCs/>
              </w:rPr>
            </w:pPr>
          </w:p>
        </w:tc>
        <w:tc>
          <w:tcPr>
            <w:tcW w:w="803" w:type="dxa"/>
            <w:tcBorders>
              <w:top w:val="single" w:sz="4" w:space="0" w:color="000000"/>
              <w:left w:val="single" w:sz="4" w:space="0" w:color="000000"/>
              <w:bottom w:val="single" w:sz="4" w:space="0" w:color="000000"/>
              <w:right w:val="single" w:sz="4" w:space="0" w:color="000000"/>
            </w:tcBorders>
            <w:vAlign w:val="center"/>
          </w:tcPr>
          <w:p w14:paraId="6875F9EA" w14:textId="77777777" w:rsidR="00D951E2" w:rsidRPr="00D951E2" w:rsidRDefault="00D951E2" w:rsidP="00D951E2">
            <w:pPr>
              <w:jc w:val="both"/>
              <w:rPr>
                <w:rFonts w:asciiTheme="majorHAnsi" w:hAnsiTheme="majorHAnsi" w:cstheme="majorHAnsi"/>
                <w:b/>
                <w:bCs/>
                <w:iCs/>
              </w:rPr>
            </w:pPr>
          </w:p>
        </w:tc>
      </w:tr>
      <w:tr w:rsidR="007A1340" w:rsidRPr="00D951E2" w14:paraId="5EDA2E83" w14:textId="77777777" w:rsidTr="000D7FA6">
        <w:trPr>
          <w:trHeight w:val="1330"/>
        </w:trPr>
        <w:tc>
          <w:tcPr>
            <w:tcW w:w="460" w:type="dxa"/>
            <w:tcBorders>
              <w:top w:val="single" w:sz="4" w:space="0" w:color="000000"/>
              <w:left w:val="single" w:sz="4" w:space="0" w:color="000000"/>
              <w:bottom w:val="single" w:sz="4" w:space="0" w:color="000000"/>
              <w:right w:val="single" w:sz="4" w:space="0" w:color="000000"/>
            </w:tcBorders>
            <w:vAlign w:val="center"/>
          </w:tcPr>
          <w:p w14:paraId="0002B443"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E</w:t>
            </w:r>
          </w:p>
        </w:tc>
        <w:tc>
          <w:tcPr>
            <w:tcW w:w="2296" w:type="dxa"/>
            <w:tcBorders>
              <w:top w:val="single" w:sz="4" w:space="0" w:color="000000"/>
              <w:left w:val="single" w:sz="4" w:space="0" w:color="000000"/>
              <w:bottom w:val="single" w:sz="4" w:space="0" w:color="000000"/>
              <w:right w:val="single" w:sz="4" w:space="0" w:color="000000"/>
            </w:tcBorders>
            <w:vAlign w:val="center"/>
          </w:tcPr>
          <w:p w14:paraId="02CA23C5"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SISTEMI DI MISURAZIONE DELLA QUALITA’ PERCEPITA</w:t>
            </w:r>
          </w:p>
        </w:tc>
        <w:tc>
          <w:tcPr>
            <w:tcW w:w="975" w:type="dxa"/>
            <w:tcBorders>
              <w:top w:val="single" w:sz="4" w:space="0" w:color="000000"/>
              <w:left w:val="single" w:sz="4" w:space="0" w:color="000000"/>
              <w:bottom w:val="single" w:sz="4" w:space="0" w:color="000000"/>
              <w:right w:val="single" w:sz="4" w:space="0" w:color="000000"/>
            </w:tcBorders>
            <w:vAlign w:val="center"/>
          </w:tcPr>
          <w:p w14:paraId="1FCADD3D"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3</w:t>
            </w:r>
          </w:p>
        </w:tc>
        <w:tc>
          <w:tcPr>
            <w:tcW w:w="698" w:type="dxa"/>
            <w:tcBorders>
              <w:top w:val="single" w:sz="4" w:space="0" w:color="000000"/>
              <w:left w:val="single" w:sz="4" w:space="0" w:color="000000"/>
              <w:bottom w:val="single" w:sz="4" w:space="0" w:color="000000"/>
              <w:right w:val="single" w:sz="4" w:space="0" w:color="000000"/>
            </w:tcBorders>
            <w:vAlign w:val="center"/>
          </w:tcPr>
          <w:p w14:paraId="449635F7"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E.1</w:t>
            </w:r>
          </w:p>
        </w:tc>
        <w:tc>
          <w:tcPr>
            <w:tcW w:w="2886" w:type="dxa"/>
            <w:tcBorders>
              <w:top w:val="single" w:sz="4" w:space="0" w:color="000000"/>
              <w:left w:val="single" w:sz="4" w:space="0" w:color="000000"/>
              <w:bottom w:val="single" w:sz="4" w:space="0" w:color="000000"/>
              <w:right w:val="single" w:sz="4" w:space="0" w:color="000000"/>
            </w:tcBorders>
            <w:vAlign w:val="center"/>
          </w:tcPr>
          <w:p w14:paraId="51A11D12" w14:textId="77777777" w:rsidR="00D951E2" w:rsidRPr="00D951E2" w:rsidRDefault="00D951E2" w:rsidP="00D951E2">
            <w:pPr>
              <w:jc w:val="both"/>
              <w:rPr>
                <w:rFonts w:asciiTheme="majorHAnsi" w:hAnsiTheme="majorHAnsi" w:cstheme="majorHAnsi"/>
                <w:iCs/>
              </w:rPr>
            </w:pPr>
            <w:r w:rsidRPr="00D951E2">
              <w:rPr>
                <w:rFonts w:asciiTheme="majorHAnsi" w:hAnsiTheme="majorHAnsi" w:cstheme="majorHAnsi"/>
                <w:iCs/>
              </w:rPr>
              <w:t>Efficacia delle proposte per la rilevazione del livello di qualità percepita. Predisposizione di strumenti di valutazione e verifica del servizio erogato con accurata descrizione della tempistica, della modalità di somministrazione, della reportistica prodotta.</w:t>
            </w:r>
          </w:p>
        </w:tc>
        <w:tc>
          <w:tcPr>
            <w:tcW w:w="803" w:type="dxa"/>
            <w:tcBorders>
              <w:top w:val="single" w:sz="4" w:space="0" w:color="000000"/>
              <w:left w:val="single" w:sz="4" w:space="0" w:color="000000"/>
              <w:bottom w:val="single" w:sz="4" w:space="0" w:color="000000"/>
              <w:right w:val="single" w:sz="4" w:space="0" w:color="000000"/>
            </w:tcBorders>
            <w:vAlign w:val="center"/>
          </w:tcPr>
          <w:p w14:paraId="2CE51B4D"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3</w:t>
            </w:r>
          </w:p>
        </w:tc>
        <w:tc>
          <w:tcPr>
            <w:tcW w:w="803" w:type="dxa"/>
            <w:tcBorders>
              <w:top w:val="single" w:sz="4" w:space="0" w:color="000000"/>
              <w:left w:val="single" w:sz="4" w:space="0" w:color="000000"/>
              <w:bottom w:val="single" w:sz="4" w:space="0" w:color="000000"/>
              <w:right w:val="single" w:sz="4" w:space="0" w:color="000000"/>
            </w:tcBorders>
            <w:vAlign w:val="center"/>
          </w:tcPr>
          <w:p w14:paraId="6C5511B1" w14:textId="77777777" w:rsidR="00D951E2" w:rsidRPr="00D951E2" w:rsidRDefault="00D951E2" w:rsidP="00D951E2">
            <w:pPr>
              <w:jc w:val="both"/>
              <w:rPr>
                <w:rFonts w:asciiTheme="majorHAnsi" w:hAnsiTheme="majorHAnsi" w:cstheme="majorHAnsi"/>
                <w:b/>
                <w:bCs/>
                <w:iCs/>
              </w:rPr>
            </w:pPr>
          </w:p>
        </w:tc>
        <w:tc>
          <w:tcPr>
            <w:tcW w:w="803" w:type="dxa"/>
            <w:tcBorders>
              <w:top w:val="single" w:sz="4" w:space="0" w:color="000000"/>
              <w:left w:val="single" w:sz="4" w:space="0" w:color="000000"/>
              <w:bottom w:val="single" w:sz="4" w:space="0" w:color="000000"/>
              <w:right w:val="single" w:sz="4" w:space="0" w:color="000000"/>
            </w:tcBorders>
            <w:vAlign w:val="center"/>
          </w:tcPr>
          <w:p w14:paraId="1694A066" w14:textId="77777777" w:rsidR="00D951E2" w:rsidRPr="00D951E2" w:rsidRDefault="00D951E2" w:rsidP="00D951E2">
            <w:pPr>
              <w:jc w:val="both"/>
              <w:rPr>
                <w:rFonts w:asciiTheme="majorHAnsi" w:hAnsiTheme="majorHAnsi" w:cstheme="majorHAnsi"/>
                <w:b/>
                <w:bCs/>
                <w:iCs/>
              </w:rPr>
            </w:pPr>
          </w:p>
        </w:tc>
      </w:tr>
      <w:tr w:rsidR="007A1340" w:rsidRPr="00D951E2" w14:paraId="008B7557" w14:textId="77777777" w:rsidTr="000D7FA6">
        <w:trPr>
          <w:trHeight w:val="1330"/>
        </w:trPr>
        <w:tc>
          <w:tcPr>
            <w:tcW w:w="460" w:type="dxa"/>
            <w:vMerge w:val="restart"/>
            <w:tcBorders>
              <w:top w:val="single" w:sz="4" w:space="0" w:color="000000"/>
              <w:left w:val="single" w:sz="4" w:space="0" w:color="000000"/>
              <w:bottom w:val="single" w:sz="4" w:space="0" w:color="000000"/>
              <w:right w:val="single" w:sz="4" w:space="0" w:color="000000"/>
            </w:tcBorders>
            <w:vAlign w:val="center"/>
            <w:hideMark/>
          </w:tcPr>
          <w:p w14:paraId="73374009"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lastRenderedPageBreak/>
              <w:t>E</w:t>
            </w:r>
          </w:p>
        </w:tc>
        <w:tc>
          <w:tcPr>
            <w:tcW w:w="2296" w:type="dxa"/>
            <w:vMerge w:val="restart"/>
            <w:tcBorders>
              <w:top w:val="single" w:sz="4" w:space="0" w:color="000000"/>
              <w:left w:val="single" w:sz="4" w:space="0" w:color="000000"/>
              <w:bottom w:val="single" w:sz="4" w:space="0" w:color="000000"/>
              <w:right w:val="single" w:sz="4" w:space="0" w:color="000000"/>
            </w:tcBorders>
            <w:vAlign w:val="center"/>
            <w:hideMark/>
          </w:tcPr>
          <w:p w14:paraId="29A0A16A"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CLAUSOLE DI PREMIALITA’ SOCIALE</w:t>
            </w:r>
          </w:p>
        </w:tc>
        <w:tc>
          <w:tcPr>
            <w:tcW w:w="975" w:type="dxa"/>
            <w:vMerge w:val="restart"/>
            <w:tcBorders>
              <w:top w:val="single" w:sz="4" w:space="0" w:color="000000"/>
              <w:left w:val="single" w:sz="4" w:space="0" w:color="000000"/>
              <w:bottom w:val="single" w:sz="4" w:space="0" w:color="000000"/>
              <w:right w:val="single" w:sz="4" w:space="0" w:color="000000"/>
            </w:tcBorders>
            <w:vAlign w:val="center"/>
            <w:hideMark/>
          </w:tcPr>
          <w:p w14:paraId="125D3B00"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2</w:t>
            </w:r>
          </w:p>
        </w:tc>
        <w:tc>
          <w:tcPr>
            <w:tcW w:w="698" w:type="dxa"/>
            <w:tcBorders>
              <w:top w:val="single" w:sz="4" w:space="0" w:color="000000"/>
              <w:left w:val="single" w:sz="4" w:space="0" w:color="000000"/>
              <w:bottom w:val="single" w:sz="4" w:space="0" w:color="000000"/>
              <w:right w:val="single" w:sz="4" w:space="0" w:color="000000"/>
            </w:tcBorders>
            <w:vAlign w:val="center"/>
            <w:hideMark/>
          </w:tcPr>
          <w:p w14:paraId="1DAD1A29"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E.1</w:t>
            </w:r>
          </w:p>
        </w:tc>
        <w:tc>
          <w:tcPr>
            <w:tcW w:w="2886" w:type="dxa"/>
            <w:tcBorders>
              <w:top w:val="single" w:sz="4" w:space="0" w:color="000000"/>
              <w:left w:val="single" w:sz="4" w:space="0" w:color="000000"/>
              <w:bottom w:val="single" w:sz="4" w:space="0" w:color="000000"/>
              <w:right w:val="single" w:sz="4" w:space="0" w:color="000000"/>
            </w:tcBorders>
            <w:vAlign w:val="center"/>
            <w:hideMark/>
          </w:tcPr>
          <w:p w14:paraId="14D1625A" w14:textId="77777777" w:rsidR="00D951E2" w:rsidRPr="00D951E2" w:rsidRDefault="00D951E2" w:rsidP="00D951E2">
            <w:pPr>
              <w:jc w:val="both"/>
              <w:rPr>
                <w:rFonts w:asciiTheme="majorHAnsi" w:hAnsiTheme="majorHAnsi" w:cstheme="majorHAnsi"/>
                <w:iCs/>
              </w:rPr>
            </w:pPr>
            <w:r w:rsidRPr="00D951E2">
              <w:rPr>
                <w:rFonts w:asciiTheme="majorHAnsi" w:hAnsiTheme="majorHAnsi" w:cstheme="majorHAnsi"/>
                <w:iCs/>
              </w:rPr>
              <w:t>Impegno all’assunzione di almeno il 40% delle figure necessarie e funzionali per l’esecuzione del contratto destinate a nuova occupazione giovanile e femminile, ex art. 1 comma 4, dell’allegato II.3 al Codice.</w:t>
            </w:r>
          </w:p>
        </w:tc>
        <w:tc>
          <w:tcPr>
            <w:tcW w:w="803" w:type="dxa"/>
            <w:tcBorders>
              <w:top w:val="single" w:sz="4" w:space="0" w:color="000000"/>
              <w:left w:val="single" w:sz="4" w:space="0" w:color="000000"/>
              <w:bottom w:val="single" w:sz="4" w:space="0" w:color="000000"/>
              <w:right w:val="single" w:sz="4" w:space="0" w:color="000000"/>
            </w:tcBorders>
            <w:vAlign w:val="center"/>
          </w:tcPr>
          <w:p w14:paraId="3FB6C6CD" w14:textId="77777777" w:rsidR="00D951E2" w:rsidRPr="00D951E2" w:rsidRDefault="00D951E2" w:rsidP="00D951E2">
            <w:pPr>
              <w:jc w:val="both"/>
              <w:rPr>
                <w:rFonts w:asciiTheme="majorHAnsi" w:hAnsiTheme="majorHAnsi" w:cstheme="majorHAnsi"/>
                <w:b/>
                <w:bCs/>
                <w:iCs/>
              </w:rPr>
            </w:pPr>
          </w:p>
        </w:tc>
        <w:tc>
          <w:tcPr>
            <w:tcW w:w="803" w:type="dxa"/>
            <w:tcBorders>
              <w:top w:val="single" w:sz="4" w:space="0" w:color="000000"/>
              <w:left w:val="single" w:sz="4" w:space="0" w:color="000000"/>
              <w:bottom w:val="single" w:sz="4" w:space="0" w:color="000000"/>
              <w:right w:val="single" w:sz="4" w:space="0" w:color="000000"/>
            </w:tcBorders>
            <w:vAlign w:val="center"/>
          </w:tcPr>
          <w:p w14:paraId="61F57179" w14:textId="77777777" w:rsidR="00D951E2" w:rsidRPr="00D951E2" w:rsidRDefault="00D951E2" w:rsidP="00D951E2">
            <w:pPr>
              <w:jc w:val="both"/>
              <w:rPr>
                <w:rFonts w:asciiTheme="majorHAnsi" w:hAnsiTheme="majorHAnsi" w:cstheme="majorHAnsi"/>
                <w:b/>
                <w:bCs/>
                <w:iCs/>
              </w:rPr>
            </w:pPr>
          </w:p>
        </w:tc>
        <w:tc>
          <w:tcPr>
            <w:tcW w:w="803" w:type="dxa"/>
            <w:tcBorders>
              <w:top w:val="single" w:sz="4" w:space="0" w:color="000000"/>
              <w:left w:val="single" w:sz="4" w:space="0" w:color="000000"/>
              <w:bottom w:val="single" w:sz="4" w:space="0" w:color="000000"/>
              <w:right w:val="single" w:sz="4" w:space="0" w:color="000000"/>
            </w:tcBorders>
            <w:vAlign w:val="center"/>
            <w:hideMark/>
          </w:tcPr>
          <w:p w14:paraId="200F2858"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1</w:t>
            </w:r>
          </w:p>
        </w:tc>
      </w:tr>
      <w:tr w:rsidR="007A1340" w:rsidRPr="00D951E2" w14:paraId="33A149E3" w14:textId="77777777" w:rsidTr="000D7FA6">
        <w:trPr>
          <w:trHeight w:val="1330"/>
        </w:trPr>
        <w:tc>
          <w:tcPr>
            <w:tcW w:w="460" w:type="dxa"/>
            <w:vMerge/>
            <w:tcBorders>
              <w:top w:val="single" w:sz="4" w:space="0" w:color="000000"/>
              <w:left w:val="single" w:sz="4" w:space="0" w:color="000000"/>
              <w:bottom w:val="single" w:sz="4" w:space="0" w:color="000000"/>
              <w:right w:val="single" w:sz="4" w:space="0" w:color="000000"/>
            </w:tcBorders>
            <w:vAlign w:val="center"/>
            <w:hideMark/>
          </w:tcPr>
          <w:p w14:paraId="01213505" w14:textId="77777777" w:rsidR="00D951E2" w:rsidRPr="00D951E2" w:rsidRDefault="00D951E2" w:rsidP="00D951E2">
            <w:pPr>
              <w:jc w:val="both"/>
              <w:rPr>
                <w:rFonts w:asciiTheme="majorHAnsi" w:hAnsiTheme="majorHAnsi" w:cstheme="majorHAnsi"/>
                <w:b/>
                <w:bCs/>
                <w:iCs/>
              </w:rPr>
            </w:pPr>
          </w:p>
        </w:tc>
        <w:tc>
          <w:tcPr>
            <w:tcW w:w="2296" w:type="dxa"/>
            <w:vMerge/>
            <w:tcBorders>
              <w:top w:val="single" w:sz="4" w:space="0" w:color="000000"/>
              <w:left w:val="single" w:sz="4" w:space="0" w:color="000000"/>
              <w:bottom w:val="single" w:sz="4" w:space="0" w:color="000000"/>
              <w:right w:val="single" w:sz="4" w:space="0" w:color="000000"/>
            </w:tcBorders>
            <w:vAlign w:val="center"/>
            <w:hideMark/>
          </w:tcPr>
          <w:p w14:paraId="71FBACF3" w14:textId="77777777" w:rsidR="00D951E2" w:rsidRPr="00D951E2" w:rsidRDefault="00D951E2" w:rsidP="00D951E2">
            <w:pPr>
              <w:jc w:val="both"/>
              <w:rPr>
                <w:rFonts w:asciiTheme="majorHAnsi" w:hAnsiTheme="majorHAnsi" w:cstheme="majorHAnsi"/>
                <w:b/>
                <w:bCs/>
                <w:iCs/>
              </w:rPr>
            </w:pPr>
          </w:p>
        </w:tc>
        <w:tc>
          <w:tcPr>
            <w:tcW w:w="975" w:type="dxa"/>
            <w:vMerge/>
            <w:tcBorders>
              <w:top w:val="single" w:sz="4" w:space="0" w:color="000000"/>
              <w:left w:val="single" w:sz="4" w:space="0" w:color="000000"/>
              <w:bottom w:val="single" w:sz="4" w:space="0" w:color="000000"/>
              <w:right w:val="single" w:sz="4" w:space="0" w:color="000000"/>
            </w:tcBorders>
            <w:vAlign w:val="center"/>
            <w:hideMark/>
          </w:tcPr>
          <w:p w14:paraId="5F26CB17" w14:textId="77777777" w:rsidR="00D951E2" w:rsidRPr="00D951E2" w:rsidRDefault="00D951E2" w:rsidP="00D951E2">
            <w:pPr>
              <w:jc w:val="both"/>
              <w:rPr>
                <w:rFonts w:asciiTheme="majorHAnsi" w:hAnsiTheme="majorHAnsi" w:cstheme="majorHAnsi"/>
                <w:b/>
                <w:bCs/>
                <w:iCs/>
              </w:rPr>
            </w:pPr>
          </w:p>
        </w:tc>
        <w:tc>
          <w:tcPr>
            <w:tcW w:w="698" w:type="dxa"/>
            <w:tcBorders>
              <w:top w:val="single" w:sz="4" w:space="0" w:color="000000"/>
              <w:left w:val="single" w:sz="4" w:space="0" w:color="000000"/>
              <w:bottom w:val="single" w:sz="4" w:space="0" w:color="000000"/>
              <w:right w:val="single" w:sz="4" w:space="0" w:color="000000"/>
            </w:tcBorders>
            <w:vAlign w:val="center"/>
            <w:hideMark/>
          </w:tcPr>
          <w:p w14:paraId="6E4A16BB"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E.2</w:t>
            </w:r>
          </w:p>
        </w:tc>
        <w:tc>
          <w:tcPr>
            <w:tcW w:w="2886" w:type="dxa"/>
            <w:tcBorders>
              <w:top w:val="single" w:sz="4" w:space="0" w:color="000000"/>
              <w:left w:val="single" w:sz="4" w:space="0" w:color="000000"/>
              <w:bottom w:val="single" w:sz="4" w:space="0" w:color="000000"/>
              <w:right w:val="single" w:sz="4" w:space="0" w:color="000000"/>
            </w:tcBorders>
            <w:vAlign w:val="center"/>
            <w:hideMark/>
          </w:tcPr>
          <w:p w14:paraId="2B56FAEC" w14:textId="77777777" w:rsidR="00D951E2" w:rsidRPr="00D951E2" w:rsidRDefault="00D951E2" w:rsidP="00D951E2">
            <w:pPr>
              <w:jc w:val="both"/>
              <w:rPr>
                <w:rFonts w:asciiTheme="majorHAnsi" w:hAnsiTheme="majorHAnsi" w:cstheme="majorHAnsi"/>
                <w:iCs/>
              </w:rPr>
            </w:pPr>
            <w:r w:rsidRPr="00D951E2">
              <w:rPr>
                <w:rFonts w:asciiTheme="majorHAnsi" w:hAnsiTheme="majorHAnsi" w:cstheme="majorHAnsi"/>
                <w:iCs/>
              </w:rPr>
              <w:t>Utilizzo, a favore dei propri dipendenti, di strumenti di conciliazione delle esigenze di cura, di vita e di lavoro.</w:t>
            </w:r>
          </w:p>
        </w:tc>
        <w:tc>
          <w:tcPr>
            <w:tcW w:w="803" w:type="dxa"/>
            <w:tcBorders>
              <w:top w:val="single" w:sz="4" w:space="0" w:color="000000"/>
              <w:left w:val="single" w:sz="4" w:space="0" w:color="000000"/>
              <w:bottom w:val="single" w:sz="4" w:space="0" w:color="000000"/>
              <w:right w:val="single" w:sz="4" w:space="0" w:color="000000"/>
            </w:tcBorders>
            <w:vAlign w:val="center"/>
            <w:hideMark/>
          </w:tcPr>
          <w:p w14:paraId="42E4F44B"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1</w:t>
            </w:r>
          </w:p>
        </w:tc>
        <w:tc>
          <w:tcPr>
            <w:tcW w:w="803" w:type="dxa"/>
            <w:tcBorders>
              <w:top w:val="single" w:sz="4" w:space="0" w:color="000000"/>
              <w:left w:val="single" w:sz="4" w:space="0" w:color="000000"/>
              <w:bottom w:val="single" w:sz="4" w:space="0" w:color="000000"/>
              <w:right w:val="single" w:sz="4" w:space="0" w:color="000000"/>
            </w:tcBorders>
            <w:vAlign w:val="center"/>
          </w:tcPr>
          <w:p w14:paraId="647CC2CD" w14:textId="77777777" w:rsidR="00D951E2" w:rsidRPr="00D951E2" w:rsidRDefault="00D951E2" w:rsidP="00D951E2">
            <w:pPr>
              <w:jc w:val="both"/>
              <w:rPr>
                <w:rFonts w:asciiTheme="majorHAnsi" w:hAnsiTheme="majorHAnsi" w:cstheme="majorHAnsi"/>
                <w:b/>
                <w:bCs/>
                <w:iCs/>
              </w:rPr>
            </w:pPr>
          </w:p>
        </w:tc>
        <w:tc>
          <w:tcPr>
            <w:tcW w:w="803" w:type="dxa"/>
            <w:tcBorders>
              <w:top w:val="single" w:sz="4" w:space="0" w:color="000000"/>
              <w:left w:val="single" w:sz="4" w:space="0" w:color="000000"/>
              <w:bottom w:val="single" w:sz="4" w:space="0" w:color="000000"/>
              <w:right w:val="single" w:sz="4" w:space="0" w:color="000000"/>
            </w:tcBorders>
            <w:vAlign w:val="center"/>
          </w:tcPr>
          <w:p w14:paraId="214A1F58" w14:textId="77777777" w:rsidR="00D951E2" w:rsidRPr="00D951E2" w:rsidRDefault="00D951E2" w:rsidP="00D951E2">
            <w:pPr>
              <w:jc w:val="both"/>
              <w:rPr>
                <w:rFonts w:asciiTheme="majorHAnsi" w:hAnsiTheme="majorHAnsi" w:cstheme="majorHAnsi"/>
                <w:b/>
                <w:bCs/>
                <w:iCs/>
              </w:rPr>
            </w:pPr>
          </w:p>
        </w:tc>
      </w:tr>
      <w:tr w:rsidR="000C3E7D" w:rsidRPr="00D951E2" w14:paraId="2506DD7E" w14:textId="77777777" w:rsidTr="000D7FA6">
        <w:trPr>
          <w:trHeight w:val="380"/>
        </w:trPr>
        <w:tc>
          <w:tcPr>
            <w:tcW w:w="4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9C57EA" w14:textId="77777777" w:rsidR="00D951E2" w:rsidRPr="00D951E2" w:rsidRDefault="00D951E2" w:rsidP="00D951E2">
            <w:pPr>
              <w:jc w:val="both"/>
              <w:rPr>
                <w:rFonts w:asciiTheme="majorHAnsi" w:hAnsiTheme="majorHAnsi" w:cstheme="majorHAnsi"/>
                <w:b/>
                <w:bCs/>
                <w:iCs/>
              </w:rPr>
            </w:pPr>
          </w:p>
        </w:tc>
        <w:tc>
          <w:tcPr>
            <w:tcW w:w="229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1E58CAB"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Totale</w:t>
            </w:r>
          </w:p>
        </w:tc>
        <w:tc>
          <w:tcPr>
            <w:tcW w:w="97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E523BBC"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90</w:t>
            </w:r>
          </w:p>
        </w:tc>
        <w:tc>
          <w:tcPr>
            <w:tcW w:w="6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A7D4F" w14:textId="77777777" w:rsidR="00D951E2" w:rsidRPr="00D951E2" w:rsidRDefault="00D951E2" w:rsidP="00D951E2">
            <w:pPr>
              <w:jc w:val="both"/>
              <w:rPr>
                <w:rFonts w:asciiTheme="majorHAnsi" w:hAnsiTheme="majorHAnsi" w:cstheme="majorHAnsi"/>
                <w:b/>
                <w:bCs/>
                <w:iCs/>
              </w:rPr>
            </w:pPr>
          </w:p>
        </w:tc>
        <w:tc>
          <w:tcPr>
            <w:tcW w:w="28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35FA4B" w14:textId="77777777" w:rsidR="00D951E2" w:rsidRPr="00D951E2" w:rsidRDefault="00D951E2" w:rsidP="00D951E2">
            <w:pPr>
              <w:jc w:val="both"/>
              <w:rPr>
                <w:rFonts w:asciiTheme="majorHAnsi" w:hAnsiTheme="majorHAnsi" w:cstheme="majorHAnsi"/>
                <w:b/>
                <w:bCs/>
                <w:iCs/>
              </w:rPr>
            </w:pPr>
          </w:p>
        </w:tc>
        <w:tc>
          <w:tcPr>
            <w:tcW w:w="80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3CFEABB"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89</w:t>
            </w:r>
          </w:p>
        </w:tc>
        <w:tc>
          <w:tcPr>
            <w:tcW w:w="8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6CFFD2" w14:textId="77777777" w:rsidR="00D951E2" w:rsidRPr="00D951E2" w:rsidRDefault="00D951E2" w:rsidP="00D951E2">
            <w:pPr>
              <w:jc w:val="both"/>
              <w:rPr>
                <w:rFonts w:asciiTheme="majorHAnsi" w:hAnsiTheme="majorHAnsi" w:cstheme="majorHAnsi"/>
                <w:b/>
                <w:bCs/>
                <w:iCs/>
              </w:rPr>
            </w:pPr>
          </w:p>
        </w:tc>
        <w:tc>
          <w:tcPr>
            <w:tcW w:w="80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29EE6BF" w14:textId="77777777" w:rsidR="00D951E2" w:rsidRPr="00D951E2" w:rsidRDefault="00D951E2" w:rsidP="00D951E2">
            <w:pPr>
              <w:jc w:val="both"/>
              <w:rPr>
                <w:rFonts w:asciiTheme="majorHAnsi" w:hAnsiTheme="majorHAnsi" w:cstheme="majorHAnsi"/>
                <w:b/>
                <w:bCs/>
                <w:iCs/>
              </w:rPr>
            </w:pPr>
            <w:r w:rsidRPr="00D951E2">
              <w:rPr>
                <w:rFonts w:asciiTheme="majorHAnsi" w:hAnsiTheme="majorHAnsi" w:cstheme="majorHAnsi"/>
                <w:b/>
                <w:bCs/>
                <w:iCs/>
              </w:rPr>
              <w:t>1</w:t>
            </w:r>
          </w:p>
        </w:tc>
      </w:tr>
    </w:tbl>
    <w:p w14:paraId="136BF5C8" w14:textId="77777777" w:rsidR="00D951E2" w:rsidRPr="00D951E2" w:rsidRDefault="00D951E2" w:rsidP="00D951E2">
      <w:pPr>
        <w:jc w:val="both"/>
        <w:rPr>
          <w:rFonts w:asciiTheme="majorHAnsi" w:hAnsiTheme="majorHAnsi" w:cstheme="majorHAnsi"/>
          <w:b/>
          <w:bCs/>
        </w:rPr>
      </w:pPr>
    </w:p>
    <w:p w14:paraId="1BB52BD8" w14:textId="77777777" w:rsidR="00D951E2" w:rsidRPr="00D951E2" w:rsidRDefault="00D951E2" w:rsidP="00D951E2">
      <w:pPr>
        <w:jc w:val="both"/>
        <w:rPr>
          <w:rFonts w:asciiTheme="majorHAnsi" w:hAnsiTheme="majorHAnsi" w:cstheme="majorHAnsi"/>
          <w:b/>
          <w:bCs/>
        </w:rPr>
      </w:pPr>
      <w:r w:rsidRPr="002E5C80">
        <w:rPr>
          <w:rFonts w:asciiTheme="majorHAnsi" w:hAnsiTheme="majorHAnsi" w:cstheme="majorHAnsi"/>
        </w:rPr>
        <w:t>Il concorrente è escluso dalla gara nel caso in cui consegua un punteggio inferiore alla soglia minima di sbarramento pari a</w:t>
      </w:r>
      <w:r w:rsidRPr="00D951E2">
        <w:rPr>
          <w:rFonts w:asciiTheme="majorHAnsi" w:hAnsiTheme="majorHAnsi" w:cstheme="majorHAnsi"/>
          <w:b/>
          <w:bCs/>
        </w:rPr>
        <w:t xml:space="preserve"> 55 punti.</w:t>
      </w:r>
    </w:p>
    <w:p w14:paraId="105FB452" w14:textId="77777777" w:rsidR="00D951E2" w:rsidRPr="002E5C80" w:rsidRDefault="00D951E2" w:rsidP="00D951E2">
      <w:pPr>
        <w:jc w:val="both"/>
        <w:rPr>
          <w:rFonts w:asciiTheme="majorHAnsi" w:hAnsiTheme="majorHAnsi" w:cstheme="majorHAnsi"/>
        </w:rPr>
      </w:pPr>
    </w:p>
    <w:p w14:paraId="42955FC4" w14:textId="3D3736A5" w:rsidR="00D951E2" w:rsidRPr="002E5C80" w:rsidRDefault="002E5C80" w:rsidP="00D951E2">
      <w:pPr>
        <w:jc w:val="both"/>
        <w:rPr>
          <w:rFonts w:asciiTheme="majorHAnsi" w:hAnsiTheme="majorHAnsi" w:cstheme="majorHAnsi"/>
        </w:rPr>
      </w:pPr>
      <w:r>
        <w:rPr>
          <w:rFonts w:asciiTheme="majorHAnsi" w:hAnsiTheme="majorHAnsi" w:cstheme="majorHAnsi"/>
        </w:rPr>
        <w:t xml:space="preserve">18.2. </w:t>
      </w:r>
      <w:r w:rsidR="00D951E2" w:rsidRPr="002E5C80">
        <w:rPr>
          <w:rFonts w:asciiTheme="majorHAnsi" w:hAnsiTheme="majorHAnsi" w:cstheme="majorHAnsi"/>
        </w:rPr>
        <w:t>METODO DI ATTRIBUZIONE DEL COEFFICIENTE PER IL CALCOLO DEL PUNTEGGIO DELL’OFFERTA TECNICA</w:t>
      </w:r>
    </w:p>
    <w:p w14:paraId="6FA7D143" w14:textId="1FED9F98" w:rsidR="00D951E2" w:rsidRDefault="00D951E2" w:rsidP="00D951E2">
      <w:pPr>
        <w:jc w:val="both"/>
        <w:rPr>
          <w:rFonts w:asciiTheme="majorHAnsi" w:hAnsiTheme="majorHAnsi" w:cstheme="majorHAnsi"/>
        </w:rPr>
      </w:pPr>
      <w:r w:rsidRPr="002E5C80">
        <w:rPr>
          <w:rFonts w:asciiTheme="majorHAnsi" w:hAnsiTheme="majorHAnsi" w:cstheme="majorHAnsi"/>
        </w:rPr>
        <w:t>A ciascuno degli elementi qualitativi cui è assegnato un punteggio discrezionale nella colonna “D” della tabella, è attribuito un coefficiente sulla base del metodo di attribuzione discrezionale di un coefficiente variabile da zero a uno da parte di ciascun commissario, secondo la tabella che segue</w:t>
      </w:r>
      <w:r w:rsidR="002E5C80">
        <w:rPr>
          <w:rFonts w:asciiTheme="majorHAnsi" w:hAnsiTheme="majorHAnsi" w:cstheme="majorHAnsi"/>
        </w:rPr>
        <w:t>:</w:t>
      </w:r>
    </w:p>
    <w:p w14:paraId="61208D87" w14:textId="77777777" w:rsidR="002E5C80" w:rsidRDefault="002E5C80" w:rsidP="00D951E2">
      <w:pPr>
        <w:jc w:val="both"/>
        <w:rPr>
          <w:rFonts w:asciiTheme="majorHAnsi" w:hAnsiTheme="majorHAnsi" w:cstheme="majorHAnsi"/>
        </w:rPr>
      </w:pPr>
    </w:p>
    <w:tbl>
      <w:tblPr>
        <w:tblW w:w="8930" w:type="dxa"/>
        <w:tblInd w:w="137" w:type="dxa"/>
        <w:tblLayout w:type="fixed"/>
        <w:tblLook w:val="0000" w:firstRow="0" w:lastRow="0" w:firstColumn="0" w:lastColumn="0" w:noHBand="0" w:noVBand="0"/>
      </w:tblPr>
      <w:tblGrid>
        <w:gridCol w:w="2977"/>
        <w:gridCol w:w="5953"/>
      </w:tblGrid>
      <w:tr w:rsidR="002E5C80" w:rsidRPr="002E5C80" w14:paraId="2D775A9D" w14:textId="77777777" w:rsidTr="002E5C80">
        <w:trPr>
          <w:trHeight w:val="186"/>
        </w:trPr>
        <w:tc>
          <w:tcPr>
            <w:tcW w:w="2977" w:type="dxa"/>
            <w:tcBorders>
              <w:top w:val="single" w:sz="4" w:space="0" w:color="000000"/>
              <w:left w:val="single" w:sz="4" w:space="0" w:color="000000"/>
              <w:bottom w:val="single" w:sz="4" w:space="0" w:color="000000"/>
            </w:tcBorders>
            <w:shd w:val="clear" w:color="auto" w:fill="auto"/>
          </w:tcPr>
          <w:p w14:paraId="67DE9201"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1</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60941F08"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ottimo</w:t>
            </w:r>
          </w:p>
        </w:tc>
      </w:tr>
      <w:tr w:rsidR="002E5C80" w:rsidRPr="002E5C80" w14:paraId="7C756FBA" w14:textId="77777777" w:rsidTr="002E5C80">
        <w:tc>
          <w:tcPr>
            <w:tcW w:w="2977" w:type="dxa"/>
            <w:tcBorders>
              <w:top w:val="single" w:sz="4" w:space="0" w:color="000000"/>
              <w:left w:val="single" w:sz="4" w:space="0" w:color="000000"/>
              <w:bottom w:val="single" w:sz="4" w:space="0" w:color="000000"/>
            </w:tcBorders>
            <w:shd w:val="clear" w:color="auto" w:fill="auto"/>
          </w:tcPr>
          <w:p w14:paraId="56DBF14E"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0,90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4EC526FC"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Più che buono</w:t>
            </w:r>
          </w:p>
        </w:tc>
      </w:tr>
      <w:tr w:rsidR="002E5C80" w:rsidRPr="002E5C80" w14:paraId="6640D84B" w14:textId="77777777" w:rsidTr="002E5C80">
        <w:tc>
          <w:tcPr>
            <w:tcW w:w="2977" w:type="dxa"/>
            <w:tcBorders>
              <w:top w:val="single" w:sz="4" w:space="0" w:color="000000"/>
              <w:left w:val="single" w:sz="4" w:space="0" w:color="000000"/>
              <w:bottom w:val="single" w:sz="4" w:space="0" w:color="000000"/>
            </w:tcBorders>
            <w:shd w:val="clear" w:color="auto" w:fill="auto"/>
          </w:tcPr>
          <w:p w14:paraId="404C3F23"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0,80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481EF243"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Buono</w:t>
            </w:r>
          </w:p>
        </w:tc>
      </w:tr>
      <w:tr w:rsidR="002E5C80" w:rsidRPr="002E5C80" w14:paraId="4BAD7DDF" w14:textId="77777777" w:rsidTr="002E5C80">
        <w:tc>
          <w:tcPr>
            <w:tcW w:w="2977" w:type="dxa"/>
            <w:tcBorders>
              <w:top w:val="single" w:sz="4" w:space="0" w:color="000000"/>
              <w:left w:val="single" w:sz="4" w:space="0" w:color="000000"/>
              <w:bottom w:val="single" w:sz="4" w:space="0" w:color="000000"/>
            </w:tcBorders>
            <w:shd w:val="clear" w:color="auto" w:fill="auto"/>
          </w:tcPr>
          <w:p w14:paraId="60B69AEC"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0,70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58623C3B"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discreto</w:t>
            </w:r>
          </w:p>
        </w:tc>
      </w:tr>
      <w:tr w:rsidR="002E5C80" w:rsidRPr="002E5C80" w14:paraId="7D83DF96" w14:textId="77777777" w:rsidTr="002E5C80">
        <w:tc>
          <w:tcPr>
            <w:tcW w:w="2977" w:type="dxa"/>
            <w:tcBorders>
              <w:top w:val="single" w:sz="4" w:space="0" w:color="000000"/>
              <w:left w:val="single" w:sz="4" w:space="0" w:color="000000"/>
              <w:bottom w:val="single" w:sz="4" w:space="0" w:color="000000"/>
            </w:tcBorders>
            <w:shd w:val="clear" w:color="auto" w:fill="auto"/>
          </w:tcPr>
          <w:p w14:paraId="59C2B711"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0,60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1DF5E5F6"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sufficiente</w:t>
            </w:r>
          </w:p>
        </w:tc>
      </w:tr>
      <w:tr w:rsidR="002E5C80" w:rsidRPr="002E5C80" w14:paraId="3B940530" w14:textId="77777777" w:rsidTr="002E5C80">
        <w:tc>
          <w:tcPr>
            <w:tcW w:w="2977" w:type="dxa"/>
            <w:tcBorders>
              <w:top w:val="single" w:sz="4" w:space="0" w:color="000000"/>
              <w:left w:val="single" w:sz="4" w:space="0" w:color="000000"/>
              <w:bottom w:val="single" w:sz="4" w:space="0" w:color="000000"/>
            </w:tcBorders>
            <w:shd w:val="clear" w:color="auto" w:fill="auto"/>
          </w:tcPr>
          <w:p w14:paraId="472579CC"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0,50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03BE6E24"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quasi sufficiente</w:t>
            </w:r>
          </w:p>
        </w:tc>
      </w:tr>
      <w:tr w:rsidR="002E5C80" w:rsidRPr="002E5C80" w14:paraId="36374B07" w14:textId="77777777" w:rsidTr="002E5C80">
        <w:tc>
          <w:tcPr>
            <w:tcW w:w="2977" w:type="dxa"/>
            <w:tcBorders>
              <w:top w:val="single" w:sz="4" w:space="0" w:color="000000"/>
              <w:left w:val="single" w:sz="4" w:space="0" w:color="000000"/>
              <w:bottom w:val="single" w:sz="4" w:space="0" w:color="000000"/>
            </w:tcBorders>
            <w:shd w:val="clear" w:color="auto" w:fill="auto"/>
          </w:tcPr>
          <w:p w14:paraId="3897DF6D"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0,40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35631C09"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insufficiente</w:t>
            </w:r>
          </w:p>
        </w:tc>
      </w:tr>
      <w:tr w:rsidR="002E5C80" w:rsidRPr="002E5C80" w14:paraId="67C000CE" w14:textId="77777777" w:rsidTr="002E5C80">
        <w:tc>
          <w:tcPr>
            <w:tcW w:w="2977" w:type="dxa"/>
            <w:tcBorders>
              <w:top w:val="single" w:sz="4" w:space="0" w:color="000000"/>
              <w:left w:val="single" w:sz="4" w:space="0" w:color="000000"/>
              <w:bottom w:val="single" w:sz="4" w:space="0" w:color="000000"/>
            </w:tcBorders>
            <w:shd w:val="clear" w:color="auto" w:fill="auto"/>
          </w:tcPr>
          <w:p w14:paraId="02462982"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0,30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58B30B29"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Gravemente insufficiente</w:t>
            </w:r>
          </w:p>
        </w:tc>
      </w:tr>
      <w:tr w:rsidR="002E5C80" w:rsidRPr="002E5C80" w14:paraId="12C5E506" w14:textId="77777777" w:rsidTr="002E5C80">
        <w:tc>
          <w:tcPr>
            <w:tcW w:w="2977" w:type="dxa"/>
            <w:tcBorders>
              <w:top w:val="single" w:sz="4" w:space="0" w:color="000000"/>
              <w:left w:val="single" w:sz="4" w:space="0" w:color="000000"/>
              <w:bottom w:val="single" w:sz="4" w:space="0" w:color="000000"/>
            </w:tcBorders>
            <w:shd w:val="clear" w:color="auto" w:fill="auto"/>
          </w:tcPr>
          <w:p w14:paraId="4BEBD8AB"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0,20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31E3FF4C"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negativo</w:t>
            </w:r>
          </w:p>
        </w:tc>
      </w:tr>
      <w:tr w:rsidR="002E5C80" w:rsidRPr="002E5C80" w14:paraId="775C9236" w14:textId="77777777" w:rsidTr="002E5C80">
        <w:tc>
          <w:tcPr>
            <w:tcW w:w="2977" w:type="dxa"/>
            <w:tcBorders>
              <w:top w:val="single" w:sz="4" w:space="0" w:color="000000"/>
              <w:left w:val="single" w:sz="4" w:space="0" w:color="000000"/>
              <w:bottom w:val="single" w:sz="4" w:space="0" w:color="000000"/>
            </w:tcBorders>
            <w:shd w:val="clear" w:color="auto" w:fill="auto"/>
          </w:tcPr>
          <w:p w14:paraId="4CEFC58F"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0,10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257AE980"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quasi del tutto assente - quasi completamente negativo</w:t>
            </w:r>
          </w:p>
        </w:tc>
      </w:tr>
      <w:tr w:rsidR="002E5C80" w:rsidRPr="002E5C80" w14:paraId="5B342CE6" w14:textId="77777777" w:rsidTr="002E5C80">
        <w:tc>
          <w:tcPr>
            <w:tcW w:w="2977" w:type="dxa"/>
            <w:tcBorders>
              <w:top w:val="single" w:sz="4" w:space="0" w:color="000000"/>
              <w:left w:val="single" w:sz="4" w:space="0" w:color="000000"/>
              <w:bottom w:val="single" w:sz="4" w:space="0" w:color="000000"/>
            </w:tcBorders>
            <w:shd w:val="clear" w:color="auto" w:fill="auto"/>
          </w:tcPr>
          <w:p w14:paraId="35622318"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10E924C4" w14:textId="77777777" w:rsidR="002E5C80" w:rsidRPr="002E5C80" w:rsidRDefault="002E5C80" w:rsidP="002E5C80">
            <w:pPr>
              <w:jc w:val="both"/>
              <w:rPr>
                <w:rFonts w:asciiTheme="majorHAnsi" w:hAnsiTheme="majorHAnsi" w:cstheme="majorHAnsi"/>
                <w:bCs/>
              </w:rPr>
            </w:pPr>
            <w:r w:rsidRPr="002E5C80">
              <w:rPr>
                <w:rFonts w:asciiTheme="majorHAnsi" w:hAnsiTheme="majorHAnsi" w:cstheme="majorHAnsi"/>
                <w:bCs/>
              </w:rPr>
              <w:t>assente- completamente negativo</w:t>
            </w:r>
          </w:p>
        </w:tc>
      </w:tr>
    </w:tbl>
    <w:p w14:paraId="5CAA6A95" w14:textId="77777777" w:rsidR="002E5C80" w:rsidRDefault="002E5C80" w:rsidP="00D951E2">
      <w:pPr>
        <w:jc w:val="both"/>
        <w:rPr>
          <w:rFonts w:asciiTheme="majorHAnsi" w:hAnsiTheme="majorHAnsi" w:cstheme="majorHAnsi"/>
        </w:rPr>
      </w:pPr>
    </w:p>
    <w:p w14:paraId="60B09ACE"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 xml:space="preserve">Per l’assegnazione del punteggio si determinerà quindi la media e si rapporta all’unità l’offerente che avrà ottenuto la media dei coefficienti più elevata; i rimanenti coefficienti andranno rapportati a questo in maniera proporzionale. </w:t>
      </w:r>
    </w:p>
    <w:p w14:paraId="722FBD2E"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 xml:space="preserve">Il coefficiente così ottenuto verrà moltiplicato per il punteggio massimo attribuibile al criterio/subcriterio di riferimento e la somma dei singoli calcoli darà il punteggio totale per l’offerta tecnica. </w:t>
      </w:r>
    </w:p>
    <w:p w14:paraId="2C798094"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lastRenderedPageBreak/>
        <w:t xml:space="preserve">Nella determinazione dei punti per ogni criterio/subcriterio e per il punteggio totale per l’offerta tecnica, si terrà conto esclusivamente delle prime due cifre decimali, arrotondando il secondo decimale all’unità superiore qualora il terzo decimale sia uguale o superiore a 5. </w:t>
      </w:r>
    </w:p>
    <w:p w14:paraId="4C4672C6"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 xml:space="preserve">A ciascuno degli elementi quantitativi cui è assegnato un punteggio nella colonna “Q” della tabella, è attribuito un coefficiente, variabile tra zero e uno, sulla base delle formule contenute nei singoli elementi di valutazione. </w:t>
      </w:r>
    </w:p>
    <w:p w14:paraId="45ADFAEF"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 xml:space="preserve">Quanto agli elementi cui è assegnato un punteggio tabellare identificato dalla colonna “T” della tabella, il relativo punteggio è assegnato, automaticamente e in valore assoluto, sulla base della presenza o assenza nell’offerta, dell’elemento richiesto. </w:t>
      </w:r>
    </w:p>
    <w:p w14:paraId="3E8076F8"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 xml:space="preserve">Si precisa che le migliorie offerte, da intendersi sempre come rese a favore dell’Ente e senza costi aggiuntivi per l’Ente contraente, non devono essere quantificate economicamente. </w:t>
      </w:r>
    </w:p>
    <w:p w14:paraId="6160E142"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 xml:space="preserve">Nel caso in cui alcune delle proposte migliorative presentate dall’offerente siano valutate dalla Commissione, a suo insindacabile giudizio, peggiorative o comunque non migliorative e quindi non accettabili o irrilevanti, non si procederà all’esclusione dell’offerente ma sarà attribuito il punteggio pari a zero per il criterio specifico e pertanto rimarranno valide le originarie previsioni da Capitolato. </w:t>
      </w:r>
    </w:p>
    <w:p w14:paraId="5CAE80A9"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 xml:space="preserve">Le proposte migliorative offerte alle quali sarà attribuito un punteggio maggiore di zero saranno vincolanti per il concorrente che risulti aggiudicatario della presente procedura di gara ed andranno a costituire parte integrante e vincolante delle previsioni contrattuali. </w:t>
      </w:r>
    </w:p>
    <w:p w14:paraId="2D8AAB83"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Il contenuto dell’offerta tecnica si intende proposto a corpo e senza alcun costo aggiuntivo per l’Ente committente.</w:t>
      </w:r>
    </w:p>
    <w:p w14:paraId="3BE28B72" w14:textId="77777777" w:rsidR="002E5C80" w:rsidRPr="002E5C80" w:rsidRDefault="002E5C80" w:rsidP="002E5C80">
      <w:pPr>
        <w:jc w:val="both"/>
        <w:rPr>
          <w:rFonts w:asciiTheme="majorHAnsi" w:hAnsiTheme="majorHAnsi" w:cstheme="majorHAnsi"/>
        </w:rPr>
      </w:pPr>
    </w:p>
    <w:p w14:paraId="7D0C597F" w14:textId="3227D586" w:rsidR="002E5C80" w:rsidRPr="002E5C80" w:rsidRDefault="002E5C80" w:rsidP="002E5C80">
      <w:pPr>
        <w:jc w:val="both"/>
        <w:rPr>
          <w:rFonts w:asciiTheme="majorHAnsi" w:hAnsiTheme="majorHAnsi" w:cstheme="majorHAnsi"/>
        </w:rPr>
      </w:pPr>
      <w:r>
        <w:rPr>
          <w:rFonts w:asciiTheme="majorHAnsi" w:hAnsiTheme="majorHAnsi" w:cstheme="majorHAnsi"/>
        </w:rPr>
        <w:t xml:space="preserve">18.3. </w:t>
      </w:r>
      <w:r w:rsidRPr="002E5C80">
        <w:rPr>
          <w:rFonts w:asciiTheme="majorHAnsi" w:hAnsiTheme="majorHAnsi" w:cstheme="majorHAnsi"/>
        </w:rPr>
        <w:t xml:space="preserve">METODO DI ATTRIBUZIONE DEL COEFFICIENTE PER IL CALCOLO DEL PUNTEGGIO DELL’OFFERTA ECONOMICA </w:t>
      </w:r>
    </w:p>
    <w:p w14:paraId="5DD2491B" w14:textId="77777777" w:rsidR="002E5C80" w:rsidRPr="002E5C80" w:rsidRDefault="002E5C80" w:rsidP="002E5C80">
      <w:pPr>
        <w:jc w:val="both"/>
        <w:rPr>
          <w:rFonts w:asciiTheme="majorHAnsi" w:hAnsiTheme="majorHAnsi" w:cstheme="majorHAnsi"/>
        </w:rPr>
      </w:pPr>
    </w:p>
    <w:p w14:paraId="674B8745" w14:textId="77777777" w:rsidR="002E5C80" w:rsidRPr="002E5C80" w:rsidRDefault="002E5C80" w:rsidP="002E5C80">
      <w:pPr>
        <w:jc w:val="both"/>
        <w:rPr>
          <w:rFonts w:asciiTheme="majorHAnsi" w:hAnsiTheme="majorHAnsi" w:cstheme="majorHAnsi"/>
          <w:b/>
          <w:bCs/>
        </w:rPr>
      </w:pPr>
      <w:r w:rsidRPr="002E5C80">
        <w:rPr>
          <w:rFonts w:asciiTheme="majorHAnsi" w:hAnsiTheme="majorHAnsi" w:cstheme="majorHAnsi"/>
          <w:b/>
          <w:bCs/>
        </w:rPr>
        <w:t>Offerta economica – ribasso % - max 10 punti</w:t>
      </w:r>
    </w:p>
    <w:p w14:paraId="57914293"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 xml:space="preserve">Il punteggio da attribuire all’offerta economica verrà calcolato attraverso la seguente formula: </w:t>
      </w:r>
    </w:p>
    <w:p w14:paraId="7AB3D971" w14:textId="77777777" w:rsidR="002E5C80" w:rsidRPr="002E5C80" w:rsidRDefault="002E5C80" w:rsidP="002E5C80">
      <w:pPr>
        <w:jc w:val="both"/>
        <w:rPr>
          <w:rFonts w:asciiTheme="majorHAnsi" w:hAnsiTheme="majorHAnsi" w:cstheme="majorHAnsi"/>
        </w:rPr>
      </w:pPr>
    </w:p>
    <w:p w14:paraId="60A9AE4C" w14:textId="17925016" w:rsidR="002E5C80" w:rsidRPr="002E5C80" w:rsidRDefault="002E5C80" w:rsidP="002E5C80">
      <w:pPr>
        <w:jc w:val="center"/>
        <w:rPr>
          <w:rFonts w:asciiTheme="majorHAnsi" w:hAnsiTheme="majorHAnsi" w:cstheme="majorHAnsi"/>
        </w:rPr>
      </w:pPr>
      <w:r>
        <w:rPr>
          <w:rFonts w:asciiTheme="majorHAnsi" w:hAnsiTheme="majorHAnsi" w:cstheme="majorHAnsi"/>
          <w:noProof/>
        </w:rPr>
        <w:drawing>
          <wp:inline distT="0" distB="0" distL="0" distR="0" wp14:anchorId="6EEDE5BA" wp14:editId="1D82BFC1">
            <wp:extent cx="2484120" cy="796676"/>
            <wp:effectExtent l="0" t="0" r="0" b="3810"/>
            <wp:docPr id="14764476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87573" cy="797784"/>
                    </a:xfrm>
                    <a:prstGeom prst="rect">
                      <a:avLst/>
                    </a:prstGeom>
                    <a:noFill/>
                  </pic:spPr>
                </pic:pic>
              </a:graphicData>
            </a:graphic>
          </wp:inline>
        </w:drawing>
      </w:r>
    </w:p>
    <w:p w14:paraId="68908953"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 xml:space="preserve">dove </w:t>
      </w:r>
    </w:p>
    <w:p w14:paraId="0BF12EB1" w14:textId="77777777" w:rsidR="002E5C80" w:rsidRPr="002E5C80" w:rsidRDefault="002E5C80" w:rsidP="002E5C80">
      <w:pPr>
        <w:jc w:val="both"/>
        <w:rPr>
          <w:rFonts w:asciiTheme="majorHAnsi" w:hAnsiTheme="majorHAnsi" w:cstheme="majorHAnsi"/>
        </w:rPr>
      </w:pPr>
      <w:r w:rsidRPr="002E5C80">
        <w:rPr>
          <w:rFonts w:ascii="Cambria Math" w:hAnsi="Cambria Math" w:cs="Cambria Math"/>
        </w:rPr>
        <w:t>𝛼</w:t>
      </w:r>
      <w:r w:rsidRPr="002E5C80">
        <w:rPr>
          <w:rFonts w:asciiTheme="majorHAnsi" w:hAnsiTheme="majorHAnsi" w:cstheme="majorHAnsi"/>
        </w:rPr>
        <w:t xml:space="preserve"> = 0,5 </w:t>
      </w:r>
    </w:p>
    <w:p w14:paraId="3E98E13E" w14:textId="77777777" w:rsidR="002E5C80" w:rsidRPr="002E5C80" w:rsidRDefault="002E5C80" w:rsidP="002E5C80">
      <w:pPr>
        <w:jc w:val="both"/>
        <w:rPr>
          <w:rFonts w:asciiTheme="majorHAnsi" w:hAnsiTheme="majorHAnsi" w:cstheme="majorHAnsi"/>
        </w:rPr>
      </w:pPr>
      <w:r w:rsidRPr="002E5C80">
        <w:rPr>
          <w:rFonts w:ascii="Cambria Math" w:hAnsi="Cambria Math" w:cs="Cambria Math"/>
        </w:rPr>
        <w:t>𝑅𝑜𝑓𝑓</w:t>
      </w:r>
      <w:r w:rsidRPr="002E5C80">
        <w:rPr>
          <w:rFonts w:asciiTheme="majorHAnsi" w:hAnsiTheme="majorHAnsi" w:cstheme="majorHAnsi"/>
        </w:rPr>
        <w:t xml:space="preserve"> corrisponde al Ribasso Offerto </w:t>
      </w:r>
    </w:p>
    <w:p w14:paraId="0A05D00F" w14:textId="77777777" w:rsidR="002E5C80" w:rsidRPr="002E5C80" w:rsidRDefault="002E5C80" w:rsidP="002E5C80">
      <w:pPr>
        <w:jc w:val="both"/>
        <w:rPr>
          <w:rFonts w:asciiTheme="majorHAnsi" w:hAnsiTheme="majorHAnsi" w:cstheme="majorHAnsi"/>
        </w:rPr>
      </w:pPr>
      <w:r w:rsidRPr="002E5C80">
        <w:rPr>
          <w:rFonts w:ascii="Cambria Math" w:hAnsi="Cambria Math" w:cs="Cambria Math"/>
        </w:rPr>
        <w:t>𝑅𝑚𝑎𝑥𝑜𝑓𝑓</w:t>
      </w:r>
      <w:r w:rsidRPr="002E5C80">
        <w:rPr>
          <w:rFonts w:asciiTheme="majorHAnsi" w:hAnsiTheme="majorHAnsi" w:cstheme="majorHAnsi"/>
        </w:rPr>
        <w:t xml:space="preserve"> corrisponde al massimo ribasso offerto </w:t>
      </w:r>
    </w:p>
    <w:p w14:paraId="1C0B7C55" w14:textId="5D2609B6" w:rsidR="002E5C80" w:rsidRPr="002E5C80" w:rsidRDefault="002E5C80" w:rsidP="002E5C80">
      <w:pPr>
        <w:jc w:val="both"/>
        <w:rPr>
          <w:rFonts w:asciiTheme="majorHAnsi" w:hAnsiTheme="majorHAnsi" w:cstheme="majorHAnsi"/>
        </w:rPr>
      </w:pPr>
      <w:r w:rsidRPr="002E5C80">
        <w:rPr>
          <w:rFonts w:asciiTheme="majorHAnsi" w:hAnsiTheme="majorHAnsi" w:cstheme="majorHAnsi"/>
        </w:rPr>
        <w:t xml:space="preserve">All’offerta economica (ribasso percentuale offerto </w:t>
      </w:r>
      <w:r w:rsidR="009D115E">
        <w:rPr>
          <w:rFonts w:asciiTheme="majorHAnsi" w:hAnsiTheme="majorHAnsi" w:cstheme="majorHAnsi"/>
        </w:rPr>
        <w:t>sulla parte oggetto di ribasso Euro 602.984,09</w:t>
      </w:r>
      <w:r w:rsidRPr="002E5C80">
        <w:rPr>
          <w:rFonts w:asciiTheme="majorHAnsi" w:hAnsiTheme="majorHAnsi" w:cstheme="majorHAnsi"/>
        </w:rPr>
        <w:t>) verranno attribuiti massimo 10 punti.</w:t>
      </w:r>
    </w:p>
    <w:p w14:paraId="7FAD9B26" w14:textId="77777777" w:rsidR="002E5C80" w:rsidRPr="002E5C80" w:rsidRDefault="002E5C80" w:rsidP="002E5C80">
      <w:pPr>
        <w:jc w:val="both"/>
        <w:rPr>
          <w:rFonts w:asciiTheme="majorHAnsi" w:hAnsiTheme="majorHAnsi" w:cstheme="majorHAnsi"/>
        </w:rPr>
      </w:pPr>
    </w:p>
    <w:p w14:paraId="4225EB94" w14:textId="720B2F70" w:rsidR="002E5C80" w:rsidRPr="002E5C80" w:rsidRDefault="002E5C80" w:rsidP="002E5C80">
      <w:pPr>
        <w:jc w:val="both"/>
        <w:rPr>
          <w:rFonts w:asciiTheme="majorHAnsi" w:hAnsiTheme="majorHAnsi" w:cstheme="majorHAnsi"/>
        </w:rPr>
      </w:pPr>
      <w:r>
        <w:rPr>
          <w:rFonts w:asciiTheme="majorHAnsi" w:hAnsiTheme="majorHAnsi" w:cstheme="majorHAnsi"/>
        </w:rPr>
        <w:t xml:space="preserve">18.4. </w:t>
      </w:r>
      <w:r w:rsidRPr="002E5C80">
        <w:rPr>
          <w:rFonts w:asciiTheme="majorHAnsi" w:hAnsiTheme="majorHAnsi" w:cstheme="majorHAnsi"/>
        </w:rPr>
        <w:t xml:space="preserve">METODO DI CALCOLO DEI PUNTEGGI </w:t>
      </w:r>
    </w:p>
    <w:p w14:paraId="43CB6076"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La commissione, terminata l’attribuzione dei coefficienti agli elementi qualitativi e quantitativi sopra indicati, procederà, in relazione a ciascuna offerta, all’attribuzione dei punteggi per ogni singolo criterio secondo il seguente metodo: “</w:t>
      </w:r>
      <w:r w:rsidRPr="002E5C80">
        <w:rPr>
          <w:rFonts w:asciiTheme="majorHAnsi" w:hAnsiTheme="majorHAnsi" w:cstheme="majorHAnsi"/>
          <w:b/>
          <w:bCs/>
        </w:rPr>
        <w:t>aggregativo compensatore</w:t>
      </w:r>
      <w:r w:rsidRPr="002E5C80">
        <w:rPr>
          <w:rFonts w:asciiTheme="majorHAnsi" w:hAnsiTheme="majorHAnsi" w:cstheme="majorHAnsi"/>
        </w:rPr>
        <w:t>”.</w:t>
      </w:r>
    </w:p>
    <w:p w14:paraId="6C406495" w14:textId="528370FC" w:rsidR="002E5C80" w:rsidRPr="002E5C80" w:rsidRDefault="002E5C80" w:rsidP="002E5C80">
      <w:pPr>
        <w:jc w:val="both"/>
        <w:rPr>
          <w:rFonts w:asciiTheme="majorHAnsi" w:hAnsiTheme="majorHAnsi" w:cstheme="majorHAnsi"/>
        </w:rPr>
      </w:pPr>
      <w:r w:rsidRPr="002E5C80">
        <w:rPr>
          <w:rFonts w:asciiTheme="majorHAnsi" w:hAnsiTheme="majorHAnsi" w:cstheme="majorHAnsi"/>
        </w:rPr>
        <w:t>Il punteggio è dato dalla seguente formula:</w:t>
      </w:r>
    </w:p>
    <w:p w14:paraId="7D5FA089" w14:textId="77777777" w:rsidR="002E5C80" w:rsidRPr="002E5C80" w:rsidRDefault="002E5C80" w:rsidP="002E5C80">
      <w:pPr>
        <w:jc w:val="both"/>
        <w:rPr>
          <w:rFonts w:asciiTheme="majorHAnsi" w:hAnsiTheme="majorHAnsi" w:cstheme="majorHAnsi"/>
        </w:rPr>
      </w:pPr>
    </w:p>
    <w:p w14:paraId="589EA413" w14:textId="77777777" w:rsidR="002E5C80" w:rsidRPr="002E5C80" w:rsidRDefault="002E5C80" w:rsidP="002E5C80">
      <w:pPr>
        <w:jc w:val="center"/>
        <w:rPr>
          <w:rFonts w:asciiTheme="majorHAnsi" w:hAnsiTheme="majorHAnsi" w:cstheme="majorHAnsi"/>
          <w:sz w:val="26"/>
          <w:szCs w:val="26"/>
        </w:rPr>
      </w:pPr>
      <w:r w:rsidRPr="002E5C80">
        <w:rPr>
          <w:rFonts w:asciiTheme="majorHAnsi" w:hAnsiTheme="majorHAnsi" w:cstheme="majorHAnsi"/>
          <w:sz w:val="26"/>
          <w:szCs w:val="26"/>
        </w:rPr>
        <w:lastRenderedPageBreak/>
        <w:t>C(a) = Σn [Wi * V(a) i]</w:t>
      </w:r>
    </w:p>
    <w:p w14:paraId="590953ED" w14:textId="77777777" w:rsidR="002E5C80" w:rsidRPr="002E5C80" w:rsidRDefault="002E5C80" w:rsidP="002E5C80">
      <w:pPr>
        <w:jc w:val="both"/>
        <w:rPr>
          <w:rFonts w:asciiTheme="majorHAnsi" w:hAnsiTheme="majorHAnsi" w:cstheme="majorHAnsi"/>
        </w:rPr>
      </w:pPr>
    </w:p>
    <w:p w14:paraId="55E5A1EF"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C(a) = indice di valutazione dell’offerta (a);</w:t>
      </w:r>
    </w:p>
    <w:p w14:paraId="65822ACF"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n = numero totale dei requisiti;</w:t>
      </w:r>
    </w:p>
    <w:p w14:paraId="4DB130FF"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Wi = peso o punteggio attribuito al requisito (i) variabile tra zero e uno;</w:t>
      </w:r>
    </w:p>
    <w:p w14:paraId="21B192C3"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V(a)i = coefficiente della prestazione dell’offerta (a) rispetto al requisito (i) variabile tra zero e uno;</w:t>
      </w:r>
    </w:p>
    <w:p w14:paraId="3457FA70"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Σn = sommatoria.</w:t>
      </w:r>
    </w:p>
    <w:p w14:paraId="2E2F6BFC" w14:textId="77777777" w:rsidR="002E5C80" w:rsidRPr="002E5C80" w:rsidRDefault="002E5C80" w:rsidP="002E5C80">
      <w:pPr>
        <w:jc w:val="both"/>
        <w:rPr>
          <w:rFonts w:asciiTheme="majorHAnsi" w:hAnsiTheme="majorHAnsi" w:cstheme="majorHAnsi"/>
        </w:rPr>
      </w:pPr>
    </w:p>
    <w:p w14:paraId="6C4E7F75" w14:textId="77777777" w:rsidR="002E5C80" w:rsidRDefault="002E5C80" w:rsidP="002E5C80">
      <w:pPr>
        <w:jc w:val="both"/>
        <w:rPr>
          <w:rFonts w:asciiTheme="majorHAnsi" w:hAnsiTheme="majorHAnsi" w:cstheme="majorHAnsi"/>
        </w:rPr>
      </w:pPr>
    </w:p>
    <w:p w14:paraId="02EDA650" w14:textId="479674C9" w:rsidR="002E5C80" w:rsidRPr="002E5C80" w:rsidRDefault="002E5C80" w:rsidP="002E5C80">
      <w:pPr>
        <w:jc w:val="both"/>
        <w:rPr>
          <w:rFonts w:asciiTheme="majorHAnsi" w:hAnsiTheme="majorHAnsi" w:cstheme="majorHAnsi"/>
          <w:b/>
          <w:bCs/>
        </w:rPr>
      </w:pPr>
      <w:r w:rsidRPr="002E5C80">
        <w:rPr>
          <w:rFonts w:asciiTheme="majorHAnsi" w:hAnsiTheme="majorHAnsi" w:cstheme="majorHAnsi"/>
          <w:b/>
          <w:bCs/>
        </w:rPr>
        <w:t>19</w:t>
      </w:r>
      <w:r>
        <w:rPr>
          <w:rFonts w:asciiTheme="majorHAnsi" w:hAnsiTheme="majorHAnsi" w:cstheme="majorHAnsi"/>
          <w:b/>
          <w:bCs/>
        </w:rPr>
        <w:t>.</w:t>
      </w:r>
      <w:r w:rsidRPr="002E5C80">
        <w:rPr>
          <w:rFonts w:asciiTheme="majorHAnsi" w:hAnsiTheme="majorHAnsi" w:cstheme="majorHAnsi"/>
          <w:b/>
          <w:bCs/>
        </w:rPr>
        <w:tab/>
        <w:t>COMMISSIONE GIUDICATRICE</w:t>
      </w:r>
    </w:p>
    <w:p w14:paraId="721204FB"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La commissione giudicatrice è nominata dopo la scadenza del termine per la presentazione delle offerte ed è composta da 3 membri.</w:t>
      </w:r>
    </w:p>
    <w:p w14:paraId="3855FAB0" w14:textId="4DE38ED9" w:rsidR="002E5C80" w:rsidRPr="002E5C80" w:rsidRDefault="002E5C80" w:rsidP="002E5C80">
      <w:pPr>
        <w:jc w:val="both"/>
        <w:rPr>
          <w:rFonts w:asciiTheme="majorHAnsi" w:hAnsiTheme="majorHAnsi" w:cstheme="majorHAnsi"/>
        </w:rPr>
      </w:pPr>
      <w:r w:rsidRPr="002E5C80">
        <w:rPr>
          <w:rFonts w:asciiTheme="majorHAnsi" w:hAnsiTheme="majorHAnsi" w:cstheme="majorHAnsi"/>
        </w:rPr>
        <w:t>In capo ai commissari non devono sussistere cause ostative alla nomina ai sensi dell’articolo 93, comma 5 del Codice. A tal fine viene richiesta, prima del conferimento dell’incarico, apposita dichiarazione. La composizione della commissione giudicatrice e i curricula dei componenti sono pubblicati sul profilo del committente nella sezione “</w:t>
      </w:r>
      <w:r w:rsidR="000C52A6">
        <w:rPr>
          <w:rFonts w:asciiTheme="majorHAnsi" w:hAnsiTheme="majorHAnsi" w:cstheme="majorHAnsi"/>
        </w:rPr>
        <w:t>Società</w:t>
      </w:r>
      <w:r w:rsidRPr="002E5C80">
        <w:rPr>
          <w:rFonts w:asciiTheme="majorHAnsi" w:hAnsiTheme="majorHAnsi" w:cstheme="majorHAnsi"/>
        </w:rPr>
        <w:t xml:space="preserve"> trasparente”.</w:t>
      </w:r>
    </w:p>
    <w:p w14:paraId="557EF2E6"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La commissione giudicatrice è responsabile della valutazione delle offerte tecniche ed economiche dei concorrenti, e può riunirsi con modalità telematiche che salvaguardino la riservatezza delle comunicazioni ed opera attraverso la piattaforma di approvvigionamento digitale.</w:t>
      </w:r>
    </w:p>
    <w:p w14:paraId="02394DE8"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Il RUP può avvalersi dell’ausilio della commissione giudicatrice ai fini della verifica dell’anomalia delle offerte.</w:t>
      </w:r>
    </w:p>
    <w:p w14:paraId="6B6E636B" w14:textId="77777777" w:rsidR="002E5C80" w:rsidRPr="002E5C80" w:rsidRDefault="002E5C80" w:rsidP="002E5C80">
      <w:pPr>
        <w:jc w:val="both"/>
        <w:rPr>
          <w:rFonts w:asciiTheme="majorHAnsi" w:hAnsiTheme="majorHAnsi" w:cstheme="majorHAnsi"/>
        </w:rPr>
      </w:pPr>
    </w:p>
    <w:p w14:paraId="04E8EB2D" w14:textId="0A381DEE" w:rsidR="002E5C80" w:rsidRPr="002E5C80" w:rsidRDefault="002E5C80" w:rsidP="002E5C80">
      <w:pPr>
        <w:jc w:val="both"/>
        <w:rPr>
          <w:rFonts w:asciiTheme="majorHAnsi" w:hAnsiTheme="majorHAnsi" w:cstheme="majorHAnsi"/>
          <w:b/>
          <w:bCs/>
        </w:rPr>
      </w:pPr>
      <w:r w:rsidRPr="002E5C80">
        <w:rPr>
          <w:rFonts w:asciiTheme="majorHAnsi" w:hAnsiTheme="majorHAnsi" w:cstheme="majorHAnsi"/>
          <w:b/>
          <w:bCs/>
        </w:rPr>
        <w:t>20</w:t>
      </w:r>
      <w:r>
        <w:rPr>
          <w:rFonts w:asciiTheme="majorHAnsi" w:hAnsiTheme="majorHAnsi" w:cstheme="majorHAnsi"/>
          <w:b/>
          <w:bCs/>
        </w:rPr>
        <w:t>.</w:t>
      </w:r>
      <w:r w:rsidRPr="002E5C80">
        <w:rPr>
          <w:rFonts w:asciiTheme="majorHAnsi" w:hAnsiTheme="majorHAnsi" w:cstheme="majorHAnsi"/>
          <w:b/>
          <w:bCs/>
        </w:rPr>
        <w:tab/>
        <w:t>SVOLGIMENTO DELLE OPERAZIONI DI GARA</w:t>
      </w:r>
    </w:p>
    <w:p w14:paraId="7692C5BB"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Trattandosi di procedura interamente telematica, nella quale la segretezza e la immodificabilità delle offerte presentate è garantita dai requisiti di sicurezza del sistema informatico in uso e dalla completa tracciabilità nei log di sistema di tutte le operazioni eseguite sul Portale, la presente procedura di gara non prevede sedute pubbliche on site per l’apertura delle buste telematiche costituenti le offerte.</w:t>
      </w:r>
    </w:p>
    <w:p w14:paraId="77B89376"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I concorrenti riceveranno tramite la Piattaforma evidenza dell’avanzamento della procedura di gara.</w:t>
      </w:r>
    </w:p>
    <w:p w14:paraId="7EFE11DF" w14:textId="77777777" w:rsidR="002E5C80" w:rsidRPr="002E5C80" w:rsidRDefault="002E5C80" w:rsidP="002E5C80">
      <w:pPr>
        <w:jc w:val="both"/>
        <w:rPr>
          <w:rFonts w:asciiTheme="majorHAnsi" w:hAnsiTheme="majorHAnsi" w:cstheme="majorHAnsi"/>
        </w:rPr>
      </w:pPr>
    </w:p>
    <w:p w14:paraId="74008986"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La prima seduta, se non indicata nel bando di gara, sarà comunicata ai concorrenti tramite la Piattaforma - di regola - almeno 1 ora prima della data fissata.</w:t>
      </w:r>
    </w:p>
    <w:p w14:paraId="53A8E113"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La Piattaforma consente lo svolgimento delle sessioni di gara preordinate all’esame:</w:t>
      </w:r>
    </w:p>
    <w:p w14:paraId="10CF7870"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w:t>
      </w:r>
      <w:r w:rsidRPr="002E5C80">
        <w:rPr>
          <w:rFonts w:asciiTheme="majorHAnsi" w:hAnsiTheme="majorHAnsi" w:cstheme="majorHAnsi"/>
        </w:rPr>
        <w:tab/>
        <w:t>della documentazione amministrativa;</w:t>
      </w:r>
    </w:p>
    <w:p w14:paraId="024C0EB3"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w:t>
      </w:r>
      <w:r w:rsidRPr="002E5C80">
        <w:rPr>
          <w:rFonts w:asciiTheme="majorHAnsi" w:hAnsiTheme="majorHAnsi" w:cstheme="majorHAnsi"/>
        </w:rPr>
        <w:tab/>
        <w:t>delle offerte tecniche;</w:t>
      </w:r>
    </w:p>
    <w:p w14:paraId="3ADC8A5F" w14:textId="77777777" w:rsidR="002E5C80" w:rsidRDefault="002E5C80" w:rsidP="002E5C80">
      <w:pPr>
        <w:jc w:val="both"/>
        <w:rPr>
          <w:rFonts w:asciiTheme="majorHAnsi" w:hAnsiTheme="majorHAnsi" w:cstheme="majorHAnsi"/>
        </w:rPr>
      </w:pPr>
      <w:r w:rsidRPr="002E5C80">
        <w:rPr>
          <w:rFonts w:asciiTheme="majorHAnsi" w:hAnsiTheme="majorHAnsi" w:cstheme="majorHAnsi"/>
        </w:rPr>
        <w:t>•</w:t>
      </w:r>
      <w:r w:rsidRPr="002E5C80">
        <w:rPr>
          <w:rFonts w:asciiTheme="majorHAnsi" w:hAnsiTheme="majorHAnsi" w:cstheme="majorHAnsi"/>
        </w:rPr>
        <w:tab/>
        <w:t>delle offerte economiche.</w:t>
      </w:r>
    </w:p>
    <w:p w14:paraId="0376214B" w14:textId="77777777" w:rsidR="000C52A6" w:rsidRPr="002E5C80" w:rsidRDefault="000C52A6" w:rsidP="002E5C80">
      <w:pPr>
        <w:jc w:val="both"/>
        <w:rPr>
          <w:rFonts w:asciiTheme="majorHAnsi" w:hAnsiTheme="majorHAnsi" w:cstheme="majorHAnsi"/>
        </w:rPr>
      </w:pPr>
    </w:p>
    <w:p w14:paraId="39B531D6"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La piattaforma garantisce il rispetto delle disposizioni del codice in materia di riservatezza delle operazioni e delle informazioni relative alla procedura di gara, nonché il rispetto dei principi di trasparenza.</w:t>
      </w:r>
    </w:p>
    <w:p w14:paraId="7745A89E"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Lo stato di avanzamento della procedura sarà comunicato agli operatori secondo le modalità previste dalla documentazione/manuali/guide disponibili direttamente sul Portale.</w:t>
      </w:r>
    </w:p>
    <w:p w14:paraId="4662B959" w14:textId="77777777" w:rsidR="002E5C80" w:rsidRPr="002E5C80" w:rsidRDefault="002E5C80" w:rsidP="002E5C80">
      <w:pPr>
        <w:jc w:val="both"/>
        <w:rPr>
          <w:rFonts w:asciiTheme="majorHAnsi" w:hAnsiTheme="majorHAnsi" w:cstheme="majorHAnsi"/>
        </w:rPr>
      </w:pPr>
    </w:p>
    <w:p w14:paraId="546D603A" w14:textId="65E7DB10" w:rsidR="002E5C80" w:rsidRPr="00120221" w:rsidRDefault="002E5C80" w:rsidP="002E5C80">
      <w:pPr>
        <w:jc w:val="both"/>
        <w:rPr>
          <w:rFonts w:asciiTheme="majorHAnsi" w:hAnsiTheme="majorHAnsi" w:cstheme="majorHAnsi"/>
          <w:b/>
          <w:bCs/>
        </w:rPr>
      </w:pPr>
      <w:r w:rsidRPr="00120221">
        <w:rPr>
          <w:rFonts w:asciiTheme="majorHAnsi" w:hAnsiTheme="majorHAnsi" w:cstheme="majorHAnsi"/>
          <w:b/>
          <w:bCs/>
        </w:rPr>
        <w:lastRenderedPageBreak/>
        <w:t>21</w:t>
      </w:r>
      <w:r w:rsidR="000C52A6" w:rsidRPr="00120221">
        <w:rPr>
          <w:rFonts w:asciiTheme="majorHAnsi" w:hAnsiTheme="majorHAnsi" w:cstheme="majorHAnsi"/>
          <w:b/>
          <w:bCs/>
        </w:rPr>
        <w:t>.</w:t>
      </w:r>
      <w:r w:rsidRPr="00120221">
        <w:rPr>
          <w:rFonts w:asciiTheme="majorHAnsi" w:hAnsiTheme="majorHAnsi" w:cstheme="majorHAnsi"/>
          <w:b/>
          <w:bCs/>
        </w:rPr>
        <w:tab/>
        <w:t>VERIFICA DOCUMENTAZIONE AMMINISTRATIVA</w:t>
      </w:r>
    </w:p>
    <w:p w14:paraId="03116332"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La procedura di affidamento si svolge attraverso il percorso obbligato previsto dal sistema telematico nel rispetto della disciplina di cui all’art.15 del Codice e all’Allegato I.2, e di seguito sinteticamente riportato:</w:t>
      </w:r>
    </w:p>
    <w:p w14:paraId="4D172BA3" w14:textId="77777777" w:rsidR="002E5C80" w:rsidRPr="002E5C80" w:rsidRDefault="002E5C80" w:rsidP="00120221">
      <w:pPr>
        <w:ind w:left="705" w:hanging="705"/>
        <w:jc w:val="both"/>
        <w:rPr>
          <w:rFonts w:asciiTheme="majorHAnsi" w:hAnsiTheme="majorHAnsi" w:cstheme="majorHAnsi"/>
        </w:rPr>
      </w:pPr>
      <w:r w:rsidRPr="002E5C80">
        <w:rPr>
          <w:rFonts w:asciiTheme="majorHAnsi" w:hAnsiTheme="majorHAnsi" w:cstheme="majorHAnsi"/>
        </w:rPr>
        <w:t>1)</w:t>
      </w:r>
      <w:r w:rsidRPr="002E5C80">
        <w:rPr>
          <w:rFonts w:asciiTheme="majorHAnsi" w:hAnsiTheme="majorHAnsi" w:cstheme="majorHAnsi"/>
        </w:rPr>
        <w:tab/>
        <w:t>accedere alla documentazione amministrativa di ciascun concorrente, mentre l’offerta tecnica e l’offerta economica restano, chiuse, segrete e bloccate dal sistema,</w:t>
      </w:r>
    </w:p>
    <w:p w14:paraId="0CF1E815" w14:textId="77777777" w:rsidR="002E5C80" w:rsidRPr="002E5C80" w:rsidRDefault="002E5C80" w:rsidP="002E5C80">
      <w:pPr>
        <w:jc w:val="both"/>
        <w:rPr>
          <w:rFonts w:asciiTheme="majorHAnsi" w:hAnsiTheme="majorHAnsi" w:cstheme="majorHAnsi"/>
        </w:rPr>
      </w:pPr>
      <w:r w:rsidRPr="002E5C80">
        <w:rPr>
          <w:rFonts w:asciiTheme="majorHAnsi" w:hAnsiTheme="majorHAnsi" w:cstheme="majorHAnsi"/>
        </w:rPr>
        <w:t>2)</w:t>
      </w:r>
      <w:r w:rsidRPr="002E5C80">
        <w:rPr>
          <w:rFonts w:asciiTheme="majorHAnsi" w:hAnsiTheme="majorHAnsi" w:cstheme="majorHAnsi"/>
        </w:rPr>
        <w:tab/>
        <w:t>controllare la completezza della documentazione amministrativa presentata;</w:t>
      </w:r>
    </w:p>
    <w:p w14:paraId="37612C45" w14:textId="2AA9F988" w:rsidR="002E5C80" w:rsidRPr="002E5C80" w:rsidRDefault="002E5C80" w:rsidP="00120221">
      <w:pPr>
        <w:ind w:left="705" w:hanging="705"/>
        <w:jc w:val="both"/>
        <w:rPr>
          <w:rFonts w:asciiTheme="majorHAnsi" w:hAnsiTheme="majorHAnsi" w:cstheme="majorHAnsi"/>
        </w:rPr>
      </w:pPr>
      <w:r w:rsidRPr="002E5C80">
        <w:rPr>
          <w:rFonts w:asciiTheme="majorHAnsi" w:hAnsiTheme="majorHAnsi" w:cstheme="majorHAnsi"/>
        </w:rPr>
        <w:t>3)</w:t>
      </w:r>
      <w:r w:rsidRPr="002E5C80">
        <w:rPr>
          <w:rFonts w:asciiTheme="majorHAnsi" w:hAnsiTheme="majorHAnsi" w:cstheme="majorHAnsi"/>
        </w:rPr>
        <w:tab/>
        <w:t>verificare la conformità della documentazione amministrativa a quanto richiesto nel</w:t>
      </w:r>
      <w:r w:rsidR="00833D45">
        <w:rPr>
          <w:rFonts w:asciiTheme="majorHAnsi" w:hAnsiTheme="majorHAnsi" w:cstheme="majorHAnsi"/>
        </w:rPr>
        <w:t>la</w:t>
      </w:r>
      <w:r w:rsidRPr="002E5C80">
        <w:rPr>
          <w:rFonts w:asciiTheme="majorHAnsi" w:hAnsiTheme="majorHAnsi" w:cstheme="majorHAnsi"/>
        </w:rPr>
        <w:t xml:space="preserve"> presente </w:t>
      </w:r>
      <w:r w:rsidR="00833D45">
        <w:rPr>
          <w:rFonts w:asciiTheme="majorHAnsi" w:hAnsiTheme="majorHAnsi" w:cstheme="majorHAnsi"/>
        </w:rPr>
        <w:t>lettera di invito</w:t>
      </w:r>
      <w:r w:rsidRPr="002E5C80">
        <w:rPr>
          <w:rFonts w:asciiTheme="majorHAnsi" w:hAnsiTheme="majorHAnsi" w:cstheme="majorHAnsi"/>
        </w:rPr>
        <w:t>;</w:t>
      </w:r>
    </w:p>
    <w:p w14:paraId="6FA91BC7" w14:textId="7FEDF68F" w:rsidR="002E5C80" w:rsidRPr="002E5C80" w:rsidRDefault="002E5C80" w:rsidP="00E9548C">
      <w:pPr>
        <w:ind w:left="705" w:hanging="705"/>
        <w:jc w:val="both"/>
        <w:rPr>
          <w:rFonts w:asciiTheme="majorHAnsi" w:hAnsiTheme="majorHAnsi" w:cstheme="majorHAnsi"/>
        </w:rPr>
      </w:pPr>
      <w:r w:rsidRPr="002E5C80">
        <w:rPr>
          <w:rFonts w:asciiTheme="majorHAnsi" w:hAnsiTheme="majorHAnsi" w:cstheme="majorHAnsi"/>
        </w:rPr>
        <w:t>4)</w:t>
      </w:r>
      <w:r w:rsidRPr="002E5C80">
        <w:rPr>
          <w:rFonts w:asciiTheme="majorHAnsi" w:hAnsiTheme="majorHAnsi" w:cstheme="majorHAnsi"/>
        </w:rPr>
        <w:tab/>
        <w:t xml:space="preserve">attivare la procedura di soccorso istruttorio di cui al precedente paragrafo 14, se necessario; </w:t>
      </w:r>
    </w:p>
    <w:p w14:paraId="459BA757" w14:textId="77777777" w:rsidR="002E5C80" w:rsidRPr="002E5C80" w:rsidRDefault="002E5C80" w:rsidP="00120221">
      <w:pPr>
        <w:ind w:left="705" w:hanging="705"/>
        <w:jc w:val="both"/>
        <w:rPr>
          <w:rFonts w:asciiTheme="majorHAnsi" w:hAnsiTheme="majorHAnsi" w:cstheme="majorHAnsi"/>
        </w:rPr>
      </w:pPr>
      <w:r w:rsidRPr="002E5C80">
        <w:rPr>
          <w:rFonts w:asciiTheme="majorHAnsi" w:hAnsiTheme="majorHAnsi" w:cstheme="majorHAnsi"/>
        </w:rPr>
        <w:t>5)</w:t>
      </w:r>
      <w:r w:rsidRPr="002E5C80">
        <w:rPr>
          <w:rFonts w:asciiTheme="majorHAnsi" w:hAnsiTheme="majorHAnsi" w:cstheme="majorHAnsi"/>
        </w:rPr>
        <w:tab/>
        <w:t>disporre le eventuali esclusioni dalla procedura, provvedendo alle relative comunicazioni entro un termine non superiore a cinque giorni dalla loro adozione.</w:t>
      </w:r>
    </w:p>
    <w:p w14:paraId="7F6F8CCB" w14:textId="77777777" w:rsidR="002E5C80" w:rsidRPr="002E5C80" w:rsidRDefault="002E5C80" w:rsidP="002E5C80">
      <w:pPr>
        <w:jc w:val="both"/>
        <w:rPr>
          <w:rFonts w:asciiTheme="majorHAnsi" w:hAnsiTheme="majorHAnsi" w:cstheme="majorHAnsi"/>
        </w:rPr>
      </w:pPr>
    </w:p>
    <w:p w14:paraId="5CF6F076" w14:textId="75793FEE" w:rsidR="002E5C80" w:rsidRPr="002E5C80" w:rsidRDefault="002E5C80" w:rsidP="002E5C80">
      <w:pPr>
        <w:jc w:val="both"/>
        <w:rPr>
          <w:rFonts w:asciiTheme="majorHAnsi" w:hAnsiTheme="majorHAnsi" w:cstheme="majorHAnsi"/>
        </w:rPr>
      </w:pPr>
      <w:r w:rsidRPr="002E5C80">
        <w:rPr>
          <w:rFonts w:asciiTheme="majorHAnsi" w:hAnsiTheme="majorHAnsi" w:cstheme="majorHAnsi"/>
        </w:rPr>
        <w:t>È fatta salva la possibilità di chiedere agli offerenti, in qualsiasi momento nel corso della procedura, di presentare tutti i documenti complementari o parte di essi, qualora questo sia necessario per assicurare il corretto svolgimento della procedura.</w:t>
      </w:r>
    </w:p>
    <w:p w14:paraId="51FBCDB1" w14:textId="77777777" w:rsidR="002E5C80" w:rsidRDefault="002E5C80" w:rsidP="00D951E2">
      <w:pPr>
        <w:jc w:val="both"/>
        <w:rPr>
          <w:rFonts w:asciiTheme="majorHAnsi" w:hAnsiTheme="majorHAnsi" w:cstheme="majorHAnsi"/>
        </w:rPr>
      </w:pPr>
    </w:p>
    <w:p w14:paraId="15F210BD" w14:textId="77777777" w:rsidR="00120221" w:rsidRDefault="00120221" w:rsidP="00D951E2">
      <w:pPr>
        <w:jc w:val="both"/>
        <w:rPr>
          <w:rFonts w:asciiTheme="majorHAnsi" w:hAnsiTheme="majorHAnsi" w:cstheme="majorHAnsi"/>
        </w:rPr>
      </w:pPr>
    </w:p>
    <w:p w14:paraId="0809FBBA" w14:textId="46B7AE02" w:rsidR="00120221" w:rsidRPr="00120221" w:rsidRDefault="00120221" w:rsidP="00120221">
      <w:pPr>
        <w:jc w:val="both"/>
        <w:rPr>
          <w:rFonts w:asciiTheme="majorHAnsi" w:hAnsiTheme="majorHAnsi" w:cstheme="majorHAnsi"/>
          <w:b/>
          <w:bCs/>
        </w:rPr>
      </w:pPr>
      <w:r w:rsidRPr="00120221">
        <w:rPr>
          <w:rFonts w:asciiTheme="majorHAnsi" w:hAnsiTheme="majorHAnsi" w:cstheme="majorHAnsi"/>
          <w:b/>
          <w:bCs/>
        </w:rPr>
        <w:t>22.</w:t>
      </w:r>
      <w:r w:rsidRPr="00120221">
        <w:rPr>
          <w:rFonts w:asciiTheme="majorHAnsi" w:hAnsiTheme="majorHAnsi" w:cstheme="majorHAnsi"/>
          <w:b/>
          <w:bCs/>
        </w:rPr>
        <w:tab/>
        <w:t>VALUTAZIONE DELLE OFFERTE TECNICHE ED ECONOMICHE</w:t>
      </w:r>
    </w:p>
    <w:p w14:paraId="020AC32D"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Una volta effettuato il controllo della documentazione amministrativa, la procedura di aggiudicazione prosegue secondo il percorso obbligato previsto dal sistema telematico di seguito riportato.</w:t>
      </w:r>
    </w:p>
    <w:p w14:paraId="71EE3617"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La data e l’ora della seduta/e di apertura delle offerte tecniche e, successivamente, delle offerte economiche - qualora non avvenga in continuità con la prima seduta di valutazione della documentazione amministrativa - sarà comunicata ai concorrenti ammessi tramite la Piattaforma - di regola - almeno 1 ora prima della data fissata.</w:t>
      </w:r>
    </w:p>
    <w:p w14:paraId="5A9DF8A8" w14:textId="04D70DE0" w:rsidR="00120221" w:rsidRPr="00120221" w:rsidRDefault="00120221" w:rsidP="00120221">
      <w:pPr>
        <w:jc w:val="both"/>
        <w:rPr>
          <w:rFonts w:asciiTheme="majorHAnsi" w:hAnsiTheme="majorHAnsi" w:cstheme="majorHAnsi"/>
        </w:rPr>
      </w:pPr>
      <w:r w:rsidRPr="00120221">
        <w:rPr>
          <w:rFonts w:asciiTheme="majorHAnsi" w:hAnsiTheme="majorHAnsi" w:cstheme="majorHAnsi"/>
        </w:rPr>
        <w:t>La commissione giudicatrice procede all’apertura, esame e valutazione delle offerte presentate dai predetti concorrenti e all’assegnazione dei relativi punteggi applicando i criteri e le formule indicati nel</w:t>
      </w:r>
      <w:r w:rsidR="00833D45">
        <w:rPr>
          <w:rFonts w:asciiTheme="majorHAnsi" w:hAnsiTheme="majorHAnsi" w:cstheme="majorHAnsi"/>
        </w:rPr>
        <w:t>la</w:t>
      </w:r>
      <w:r w:rsidRPr="00120221">
        <w:rPr>
          <w:rFonts w:asciiTheme="majorHAnsi" w:hAnsiTheme="majorHAnsi" w:cstheme="majorHAnsi"/>
        </w:rPr>
        <w:t xml:space="preserve"> presente </w:t>
      </w:r>
      <w:r w:rsidR="00833D45">
        <w:rPr>
          <w:rFonts w:asciiTheme="majorHAnsi" w:hAnsiTheme="majorHAnsi" w:cstheme="majorHAnsi"/>
        </w:rPr>
        <w:t>lettera di invito</w:t>
      </w:r>
      <w:r w:rsidRPr="00120221">
        <w:rPr>
          <w:rFonts w:asciiTheme="majorHAnsi" w:hAnsiTheme="majorHAnsi" w:cstheme="majorHAnsi"/>
        </w:rPr>
        <w:t>. Gli esiti della valutazione sono registrati dalla Piattaforma.</w:t>
      </w:r>
    </w:p>
    <w:p w14:paraId="79592FF3"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La commissione procede alla riparametrazione dei punteggi secondo quanto indicato al paragrafo 18.4. La commissione giudicatrice rende visibile ai concorrenti:</w:t>
      </w:r>
    </w:p>
    <w:p w14:paraId="6D918532" w14:textId="580CA365" w:rsidR="00120221" w:rsidRPr="00120221" w:rsidRDefault="00120221" w:rsidP="00120221">
      <w:pPr>
        <w:ind w:firstLine="708"/>
        <w:jc w:val="both"/>
        <w:rPr>
          <w:rFonts w:asciiTheme="majorHAnsi" w:hAnsiTheme="majorHAnsi" w:cstheme="majorHAnsi"/>
        </w:rPr>
      </w:pPr>
      <w:r w:rsidRPr="00120221">
        <w:rPr>
          <w:rFonts w:asciiTheme="majorHAnsi" w:hAnsiTheme="majorHAnsi" w:cstheme="majorHAnsi"/>
        </w:rPr>
        <w:t>a)</w:t>
      </w:r>
      <w:r w:rsidRPr="00120221">
        <w:rPr>
          <w:rFonts w:asciiTheme="majorHAnsi" w:hAnsiTheme="majorHAnsi" w:cstheme="majorHAnsi"/>
        </w:rPr>
        <w:tab/>
        <w:t>i punteggi tecnici attribuiti alle singole offerte tecniche;</w:t>
      </w:r>
    </w:p>
    <w:p w14:paraId="02AFBC30" w14:textId="77777777" w:rsidR="00120221" w:rsidRPr="00120221" w:rsidRDefault="00120221" w:rsidP="00120221">
      <w:pPr>
        <w:ind w:firstLine="708"/>
        <w:jc w:val="both"/>
        <w:rPr>
          <w:rFonts w:asciiTheme="majorHAnsi" w:hAnsiTheme="majorHAnsi" w:cstheme="majorHAnsi"/>
        </w:rPr>
      </w:pPr>
      <w:r w:rsidRPr="00120221">
        <w:rPr>
          <w:rFonts w:asciiTheme="majorHAnsi" w:hAnsiTheme="majorHAnsi" w:cstheme="majorHAnsi"/>
        </w:rPr>
        <w:t>b)</w:t>
      </w:r>
      <w:r w:rsidRPr="00120221">
        <w:rPr>
          <w:rFonts w:asciiTheme="majorHAnsi" w:hAnsiTheme="majorHAnsi" w:cstheme="majorHAnsi"/>
        </w:rPr>
        <w:tab/>
        <w:t>le eventuali esclusioni dalla gara dei concorrenti.</w:t>
      </w:r>
    </w:p>
    <w:p w14:paraId="2AD33C01"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Al termine delle operazioni di cui sopra la Piattaforma consente la prosecuzione della procedura ai soli concorrenti ammessi alla valutazione delle offerte economiche.</w:t>
      </w:r>
    </w:p>
    <w:p w14:paraId="04B1BF8C" w14:textId="335217E9" w:rsidR="00120221" w:rsidRPr="00120221" w:rsidRDefault="00120221" w:rsidP="00120221">
      <w:pPr>
        <w:jc w:val="both"/>
        <w:rPr>
          <w:rFonts w:asciiTheme="majorHAnsi" w:hAnsiTheme="majorHAnsi" w:cstheme="majorHAnsi"/>
        </w:rPr>
      </w:pPr>
      <w:r w:rsidRPr="00120221">
        <w:rPr>
          <w:rFonts w:asciiTheme="majorHAnsi" w:hAnsiTheme="majorHAnsi" w:cstheme="majorHAnsi"/>
        </w:rPr>
        <w:t>La commissione giudicatrice procede all’apertura delle offerte economiche e, quindi, alla valutazione delle offerte economiche, secondo i criteri e le modalità descritte nel</w:t>
      </w:r>
      <w:r w:rsidR="00833D45">
        <w:rPr>
          <w:rFonts w:asciiTheme="majorHAnsi" w:hAnsiTheme="majorHAnsi" w:cstheme="majorHAnsi"/>
        </w:rPr>
        <w:t xml:space="preserve">la lettera di invito </w:t>
      </w:r>
      <w:r w:rsidRPr="00120221">
        <w:rPr>
          <w:rFonts w:asciiTheme="majorHAnsi" w:hAnsiTheme="majorHAnsi" w:cstheme="majorHAnsi"/>
        </w:rPr>
        <w:t>e successivamente all’individuazione dell’unico parametro numerico finale per la formulazione della graduatoria.</w:t>
      </w:r>
    </w:p>
    <w:p w14:paraId="320E056C"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Si precisa quanto segue:</w:t>
      </w:r>
    </w:p>
    <w:p w14:paraId="5EF2D67A" w14:textId="77777777" w:rsidR="00120221" w:rsidRPr="00120221" w:rsidRDefault="00120221" w:rsidP="00120221">
      <w:pPr>
        <w:ind w:left="705" w:hanging="705"/>
        <w:jc w:val="both"/>
        <w:rPr>
          <w:rFonts w:asciiTheme="majorHAnsi" w:hAnsiTheme="majorHAnsi" w:cstheme="majorHAnsi"/>
        </w:rPr>
      </w:pPr>
      <w:r w:rsidRPr="00120221">
        <w:rPr>
          <w:rFonts w:asciiTheme="majorHAnsi" w:hAnsiTheme="majorHAnsi" w:cstheme="majorHAnsi"/>
        </w:rPr>
        <w:t>a)</w:t>
      </w:r>
      <w:r w:rsidRPr="00120221">
        <w:rPr>
          <w:rFonts w:asciiTheme="majorHAnsi" w:hAnsiTheme="majorHAnsi" w:cstheme="majorHAnsi"/>
        </w:rPr>
        <w:tab/>
        <w:t>Nel caso in cui le offerte di due o più concorrenti ottengano lo stesso punteggio complessivo, ma punteggi differenti per il prezzo e per tutti gli altri elementi di valutazione, sarà collocato primo in graduatoria il concorrente che ha ottenuto il miglior punteggio sull’offerta tecnica.</w:t>
      </w:r>
    </w:p>
    <w:p w14:paraId="251AE2C9" w14:textId="77777777" w:rsidR="00120221" w:rsidRPr="00120221" w:rsidRDefault="00120221" w:rsidP="00120221">
      <w:pPr>
        <w:ind w:left="705" w:hanging="705"/>
        <w:jc w:val="both"/>
        <w:rPr>
          <w:rFonts w:asciiTheme="majorHAnsi" w:hAnsiTheme="majorHAnsi" w:cstheme="majorHAnsi"/>
        </w:rPr>
      </w:pPr>
      <w:r w:rsidRPr="00120221">
        <w:rPr>
          <w:rFonts w:asciiTheme="majorHAnsi" w:hAnsiTheme="majorHAnsi" w:cstheme="majorHAnsi"/>
        </w:rPr>
        <w:lastRenderedPageBreak/>
        <w:t>b)</w:t>
      </w:r>
      <w:r w:rsidRPr="00120221">
        <w:rPr>
          <w:rFonts w:asciiTheme="majorHAnsi" w:hAnsiTheme="majorHAnsi" w:cstheme="majorHAnsi"/>
        </w:rPr>
        <w:tab/>
        <w:t>Nel caso in cui le offerte di due o più concorrenti ottengano lo stesso punteggio complessivo e gli stessi punteggi parziali per il prezzo e per l’offerta tecnica, i predetti concorrenti saranno invitati dalla stazione appaltante a presentare un’offerta migliorativa sul prezzo. La richiesta è effettuata secondo le modalità previste al paragrafo 2.3. È collocato primo in graduatoria il concorrente che presenta la migliore offerta.</w:t>
      </w:r>
    </w:p>
    <w:p w14:paraId="137AF20B" w14:textId="77777777" w:rsidR="00120221" w:rsidRDefault="00120221" w:rsidP="00120221">
      <w:pPr>
        <w:ind w:left="705" w:hanging="705"/>
        <w:jc w:val="both"/>
        <w:rPr>
          <w:rFonts w:asciiTheme="majorHAnsi" w:hAnsiTheme="majorHAnsi" w:cstheme="majorHAnsi"/>
        </w:rPr>
      </w:pPr>
      <w:r w:rsidRPr="00120221">
        <w:rPr>
          <w:rFonts w:asciiTheme="majorHAnsi" w:hAnsiTheme="majorHAnsi" w:cstheme="majorHAnsi"/>
        </w:rPr>
        <w:t>c)</w:t>
      </w:r>
      <w:r w:rsidRPr="00120221">
        <w:rPr>
          <w:rFonts w:asciiTheme="majorHAnsi" w:hAnsiTheme="majorHAnsi" w:cstheme="majorHAnsi"/>
        </w:rPr>
        <w:tab/>
        <w:t>Ove permanga l’ex aequo si procede mediante sorteggio ad individuare il concorrente che verrà collocato primo nella graduatoria. La stazione appaltante comunica il giorno e l’ora del sorteggio (estrazione del lotto) secondo le modalità che saranno successivamente comunicate in conformità al paragrafo 2.3.</w:t>
      </w:r>
    </w:p>
    <w:p w14:paraId="32551348" w14:textId="77777777" w:rsidR="00120221" w:rsidRPr="00120221" w:rsidRDefault="00120221" w:rsidP="00120221">
      <w:pPr>
        <w:ind w:left="705" w:hanging="705"/>
        <w:jc w:val="both"/>
        <w:rPr>
          <w:rFonts w:asciiTheme="majorHAnsi" w:hAnsiTheme="majorHAnsi" w:cstheme="majorHAnsi"/>
        </w:rPr>
      </w:pPr>
    </w:p>
    <w:p w14:paraId="6EA44C3C"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All’esito delle operazioni di cui sopra, la Commissione redige la graduatoria e si procede come di seguito indicato:</w:t>
      </w:r>
    </w:p>
    <w:p w14:paraId="300D9B80"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1.</w:t>
      </w:r>
      <w:r w:rsidRPr="00120221">
        <w:rPr>
          <w:rFonts w:asciiTheme="majorHAnsi" w:hAnsiTheme="majorHAnsi" w:cstheme="majorHAnsi"/>
        </w:rPr>
        <w:tab/>
        <w:t>(</w:t>
      </w:r>
      <w:r w:rsidRPr="00120221">
        <w:rPr>
          <w:rFonts w:asciiTheme="majorHAnsi" w:hAnsiTheme="majorHAnsi" w:cstheme="majorHAnsi"/>
          <w:i/>
          <w:iCs/>
        </w:rPr>
        <w:t>nel caso in cui il numero delle offerte ammesse sia pari o superiore a tre</w:t>
      </w:r>
      <w:r w:rsidRPr="00120221">
        <w:rPr>
          <w:rFonts w:asciiTheme="majorHAnsi" w:hAnsiTheme="majorHAnsi" w:cstheme="majorHAnsi"/>
        </w:rPr>
        <w:t>)</w:t>
      </w:r>
    </w:p>
    <w:p w14:paraId="1513412A" w14:textId="77777777" w:rsidR="00120221" w:rsidRPr="00120221" w:rsidRDefault="00120221" w:rsidP="00120221">
      <w:pPr>
        <w:ind w:left="708"/>
        <w:jc w:val="both"/>
        <w:rPr>
          <w:rFonts w:asciiTheme="majorHAnsi" w:hAnsiTheme="majorHAnsi" w:cstheme="majorHAnsi"/>
        </w:rPr>
      </w:pPr>
      <w:r w:rsidRPr="00120221">
        <w:rPr>
          <w:rFonts w:asciiTheme="majorHAnsi" w:hAnsiTheme="majorHAnsi" w:cstheme="majorHAnsi"/>
        </w:rPr>
        <w:t>1.1.</w:t>
      </w:r>
      <w:r w:rsidRPr="00120221">
        <w:rPr>
          <w:rFonts w:asciiTheme="majorHAnsi" w:hAnsiTheme="majorHAnsi" w:cstheme="majorHAnsi"/>
        </w:rPr>
        <w:tab/>
        <w:t xml:space="preserve"> calcolo della soglia di anomalia e individuazione delle eventuali offerte anomale secondo quanto previsto dal paragrafo 23;</w:t>
      </w:r>
    </w:p>
    <w:p w14:paraId="1EB79C8F"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 xml:space="preserve"> </w:t>
      </w:r>
    </w:p>
    <w:p w14:paraId="04FDEB8D"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1.2.</w:t>
      </w:r>
      <w:r w:rsidRPr="00120221">
        <w:rPr>
          <w:rFonts w:asciiTheme="majorHAnsi" w:hAnsiTheme="majorHAnsi" w:cstheme="majorHAnsi"/>
        </w:rPr>
        <w:tab/>
        <w:t>(</w:t>
      </w:r>
      <w:r w:rsidRPr="00120221">
        <w:rPr>
          <w:rFonts w:asciiTheme="majorHAnsi" w:hAnsiTheme="majorHAnsi" w:cstheme="majorHAnsi"/>
          <w:i/>
          <w:iCs/>
        </w:rPr>
        <w:t>nel caso di offerte anomale</w:t>
      </w:r>
      <w:r w:rsidRPr="00120221">
        <w:rPr>
          <w:rFonts w:asciiTheme="majorHAnsi" w:hAnsiTheme="majorHAnsi" w:cstheme="majorHAnsi"/>
        </w:rPr>
        <w:t>)</w:t>
      </w:r>
    </w:p>
    <w:p w14:paraId="1C422C48" w14:textId="77777777" w:rsidR="00120221" w:rsidRPr="00120221" w:rsidRDefault="00120221" w:rsidP="00120221">
      <w:pPr>
        <w:ind w:left="708"/>
        <w:jc w:val="both"/>
        <w:rPr>
          <w:rFonts w:asciiTheme="majorHAnsi" w:hAnsiTheme="majorHAnsi" w:cstheme="majorHAnsi"/>
        </w:rPr>
      </w:pPr>
      <w:r w:rsidRPr="00120221">
        <w:rPr>
          <w:rFonts w:asciiTheme="majorHAnsi" w:hAnsiTheme="majorHAnsi" w:cstheme="majorHAnsi"/>
        </w:rPr>
        <w:t>1.2.1.</w:t>
      </w:r>
      <w:r w:rsidRPr="00120221">
        <w:rPr>
          <w:rFonts w:asciiTheme="majorHAnsi" w:hAnsiTheme="majorHAnsi" w:cstheme="majorHAnsi"/>
        </w:rPr>
        <w:tab/>
        <w:t>valutazione da parte del RUP della congruità, serietà, sostenibilità e realizzabilità delle offerte potenzialmente anomale secondo la disciplina di cui all’art.110 del Codice.</w:t>
      </w:r>
    </w:p>
    <w:p w14:paraId="31A99881" w14:textId="77777777" w:rsidR="00120221" w:rsidRDefault="00120221" w:rsidP="00120221">
      <w:pPr>
        <w:ind w:left="708"/>
        <w:jc w:val="both"/>
        <w:rPr>
          <w:rFonts w:asciiTheme="majorHAnsi" w:hAnsiTheme="majorHAnsi" w:cstheme="majorHAnsi"/>
        </w:rPr>
      </w:pPr>
      <w:r w:rsidRPr="00120221">
        <w:rPr>
          <w:rFonts w:asciiTheme="majorHAnsi" w:hAnsiTheme="majorHAnsi" w:cstheme="majorHAnsi"/>
        </w:rPr>
        <w:t>1.2.2.</w:t>
      </w:r>
      <w:r w:rsidRPr="00120221">
        <w:rPr>
          <w:rFonts w:asciiTheme="majorHAnsi" w:hAnsiTheme="majorHAnsi" w:cstheme="majorHAnsi"/>
        </w:rPr>
        <w:tab/>
        <w:t>concluse le operazioni di verifica e comunicate le eventuali esclusioni, formulazione della proposta di aggiudicazione in favore della migliore offerta risultata congrua;</w:t>
      </w:r>
    </w:p>
    <w:p w14:paraId="747539D3" w14:textId="77777777" w:rsidR="00120221" w:rsidRPr="00120221" w:rsidRDefault="00120221" w:rsidP="00120221">
      <w:pPr>
        <w:ind w:left="708"/>
        <w:jc w:val="both"/>
        <w:rPr>
          <w:rFonts w:asciiTheme="majorHAnsi" w:hAnsiTheme="majorHAnsi" w:cstheme="majorHAnsi"/>
        </w:rPr>
      </w:pPr>
    </w:p>
    <w:p w14:paraId="524C583E"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1.3.</w:t>
      </w:r>
      <w:r w:rsidRPr="00120221">
        <w:rPr>
          <w:rFonts w:asciiTheme="majorHAnsi" w:hAnsiTheme="majorHAnsi" w:cstheme="majorHAnsi"/>
        </w:rPr>
        <w:tab/>
        <w:t>(</w:t>
      </w:r>
      <w:r w:rsidRPr="00120221">
        <w:rPr>
          <w:rFonts w:asciiTheme="majorHAnsi" w:hAnsiTheme="majorHAnsi" w:cstheme="majorHAnsi"/>
          <w:i/>
          <w:iCs/>
        </w:rPr>
        <w:t>nel caso non vi siano offerte anomale</w:t>
      </w:r>
      <w:r w:rsidRPr="00120221">
        <w:rPr>
          <w:rFonts w:asciiTheme="majorHAnsi" w:hAnsiTheme="majorHAnsi" w:cstheme="majorHAnsi"/>
        </w:rPr>
        <w:t>)</w:t>
      </w:r>
    </w:p>
    <w:p w14:paraId="55E21205" w14:textId="77777777" w:rsidR="00120221" w:rsidRDefault="00120221" w:rsidP="00120221">
      <w:pPr>
        <w:ind w:firstLine="708"/>
        <w:jc w:val="both"/>
        <w:rPr>
          <w:rFonts w:asciiTheme="majorHAnsi" w:hAnsiTheme="majorHAnsi" w:cstheme="majorHAnsi"/>
        </w:rPr>
      </w:pPr>
      <w:r w:rsidRPr="00120221">
        <w:rPr>
          <w:rFonts w:asciiTheme="majorHAnsi" w:hAnsiTheme="majorHAnsi" w:cstheme="majorHAnsi"/>
        </w:rPr>
        <w:t>1.3.1.</w:t>
      </w:r>
      <w:r w:rsidRPr="00120221">
        <w:rPr>
          <w:rFonts w:asciiTheme="majorHAnsi" w:hAnsiTheme="majorHAnsi" w:cstheme="majorHAnsi"/>
        </w:rPr>
        <w:tab/>
        <w:t>formulazione della proposta di aggiudicazione in favore della migliore offerta;</w:t>
      </w:r>
    </w:p>
    <w:p w14:paraId="1B439253" w14:textId="77777777" w:rsidR="00120221" w:rsidRPr="00120221" w:rsidRDefault="00120221" w:rsidP="00120221">
      <w:pPr>
        <w:ind w:firstLine="708"/>
        <w:jc w:val="both"/>
        <w:rPr>
          <w:rFonts w:asciiTheme="majorHAnsi" w:hAnsiTheme="majorHAnsi" w:cstheme="majorHAnsi"/>
        </w:rPr>
      </w:pPr>
    </w:p>
    <w:p w14:paraId="5CDA3F4D"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2.</w:t>
      </w:r>
      <w:r w:rsidRPr="00120221">
        <w:rPr>
          <w:rFonts w:asciiTheme="majorHAnsi" w:hAnsiTheme="majorHAnsi" w:cstheme="majorHAnsi"/>
        </w:rPr>
        <w:tab/>
        <w:t>(</w:t>
      </w:r>
      <w:r w:rsidRPr="00120221">
        <w:rPr>
          <w:rFonts w:asciiTheme="majorHAnsi" w:hAnsiTheme="majorHAnsi" w:cstheme="majorHAnsi"/>
          <w:i/>
          <w:iCs/>
        </w:rPr>
        <w:t>nel caso in cui il numero delle offerte ammesse sia inferiore a tre</w:t>
      </w:r>
      <w:r w:rsidRPr="00120221">
        <w:rPr>
          <w:rFonts w:asciiTheme="majorHAnsi" w:hAnsiTheme="majorHAnsi" w:cstheme="majorHAnsi"/>
        </w:rPr>
        <w:t>)</w:t>
      </w:r>
    </w:p>
    <w:p w14:paraId="3BBB65FC" w14:textId="77777777" w:rsidR="00120221" w:rsidRDefault="00120221" w:rsidP="00120221">
      <w:pPr>
        <w:ind w:firstLine="708"/>
        <w:jc w:val="both"/>
        <w:rPr>
          <w:rFonts w:asciiTheme="majorHAnsi" w:hAnsiTheme="majorHAnsi" w:cstheme="majorHAnsi"/>
        </w:rPr>
      </w:pPr>
      <w:r w:rsidRPr="00120221">
        <w:rPr>
          <w:rFonts w:asciiTheme="majorHAnsi" w:hAnsiTheme="majorHAnsi" w:cstheme="majorHAnsi"/>
        </w:rPr>
        <w:t>2.1.</w:t>
      </w:r>
      <w:r w:rsidRPr="00120221">
        <w:rPr>
          <w:rFonts w:asciiTheme="majorHAnsi" w:hAnsiTheme="majorHAnsi" w:cstheme="majorHAnsi"/>
        </w:rPr>
        <w:tab/>
        <w:t>formulazione della proposta di aggiudicazione in favore della migliore offerta.</w:t>
      </w:r>
    </w:p>
    <w:p w14:paraId="6C15F432" w14:textId="77777777" w:rsidR="00120221" w:rsidRPr="00120221" w:rsidRDefault="00120221" w:rsidP="00120221">
      <w:pPr>
        <w:ind w:firstLine="708"/>
        <w:jc w:val="both"/>
        <w:rPr>
          <w:rFonts w:asciiTheme="majorHAnsi" w:hAnsiTheme="majorHAnsi" w:cstheme="majorHAnsi"/>
        </w:rPr>
      </w:pPr>
    </w:p>
    <w:p w14:paraId="1F443570"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L’offerta è esclusa in caso di:</w:t>
      </w:r>
    </w:p>
    <w:p w14:paraId="16C2C8B4" w14:textId="77777777" w:rsidR="00120221" w:rsidRPr="00120221" w:rsidRDefault="00120221" w:rsidP="00120221">
      <w:pPr>
        <w:ind w:left="705" w:hanging="705"/>
        <w:jc w:val="both"/>
        <w:rPr>
          <w:rFonts w:asciiTheme="majorHAnsi" w:hAnsiTheme="majorHAnsi" w:cstheme="majorHAnsi"/>
        </w:rPr>
      </w:pPr>
      <w:r w:rsidRPr="00120221">
        <w:rPr>
          <w:rFonts w:asciiTheme="majorHAnsi" w:hAnsiTheme="majorHAnsi" w:cstheme="majorHAnsi"/>
        </w:rPr>
        <w:t>-</w:t>
      </w:r>
      <w:r w:rsidRPr="00120221">
        <w:rPr>
          <w:rFonts w:asciiTheme="majorHAnsi" w:hAnsiTheme="majorHAnsi" w:cstheme="majorHAnsi"/>
        </w:rPr>
        <w:tab/>
        <w:t>mancata separazione dell’offerta economica dall’offerta tecnica, ovvero inserimento di elementi concernenti il prezzo nella documentazione amministrativa o nell’offerta tecnica;</w:t>
      </w:r>
    </w:p>
    <w:p w14:paraId="499A7203" w14:textId="77777777" w:rsidR="00120221" w:rsidRPr="00120221" w:rsidRDefault="00120221" w:rsidP="00120221">
      <w:pPr>
        <w:ind w:left="705" w:hanging="705"/>
        <w:jc w:val="both"/>
        <w:rPr>
          <w:rFonts w:asciiTheme="majorHAnsi" w:hAnsiTheme="majorHAnsi" w:cstheme="majorHAnsi"/>
        </w:rPr>
      </w:pPr>
      <w:r w:rsidRPr="00120221">
        <w:rPr>
          <w:rFonts w:asciiTheme="majorHAnsi" w:hAnsiTheme="majorHAnsi" w:cstheme="majorHAnsi"/>
        </w:rPr>
        <w:t>-</w:t>
      </w:r>
      <w:r w:rsidRPr="00120221">
        <w:rPr>
          <w:rFonts w:asciiTheme="majorHAnsi" w:hAnsiTheme="majorHAnsi" w:cstheme="majorHAnsi"/>
        </w:rPr>
        <w:tab/>
        <w:t>presentazione di offerte parziali, plurime, condizionate, alternative oppure irregolari in quanto non rispettano i documenti di gara, ivi comprese le specifiche tecniche, o anormalmente basse;</w:t>
      </w:r>
    </w:p>
    <w:p w14:paraId="4514C803" w14:textId="77777777" w:rsidR="00120221" w:rsidRPr="00120221" w:rsidRDefault="00120221" w:rsidP="00120221">
      <w:pPr>
        <w:ind w:left="705" w:hanging="705"/>
        <w:jc w:val="both"/>
        <w:rPr>
          <w:rFonts w:asciiTheme="majorHAnsi" w:hAnsiTheme="majorHAnsi" w:cstheme="majorHAnsi"/>
        </w:rPr>
      </w:pPr>
      <w:r w:rsidRPr="00120221">
        <w:rPr>
          <w:rFonts w:asciiTheme="majorHAnsi" w:hAnsiTheme="majorHAnsi" w:cstheme="majorHAnsi"/>
        </w:rPr>
        <w:t>-</w:t>
      </w:r>
      <w:r w:rsidRPr="00120221">
        <w:rPr>
          <w:rFonts w:asciiTheme="majorHAnsi" w:hAnsiTheme="majorHAnsi" w:cstheme="majorHAnsi"/>
        </w:rPr>
        <w:tab/>
        <w:t>presentazione di offerte inammissibili in quanto la commissione giudicatrice ha ritenuto sussistenti gli estremi per l’informativa alla Procura della Repubblica per reati di corruzione o fenomeni collusivi o ha verificato essere in aumento rispetto all’importo a base di gara;</w:t>
      </w:r>
    </w:p>
    <w:p w14:paraId="4949FCA5" w14:textId="77777777" w:rsidR="00120221" w:rsidRDefault="00120221" w:rsidP="00120221">
      <w:pPr>
        <w:jc w:val="both"/>
        <w:rPr>
          <w:rFonts w:asciiTheme="majorHAnsi" w:hAnsiTheme="majorHAnsi" w:cstheme="majorHAnsi"/>
        </w:rPr>
      </w:pPr>
      <w:r w:rsidRPr="00120221">
        <w:rPr>
          <w:rFonts w:asciiTheme="majorHAnsi" w:hAnsiTheme="majorHAnsi" w:cstheme="majorHAnsi"/>
        </w:rPr>
        <w:t>-</w:t>
      </w:r>
      <w:r w:rsidRPr="00120221">
        <w:rPr>
          <w:rFonts w:asciiTheme="majorHAnsi" w:hAnsiTheme="majorHAnsi" w:cstheme="majorHAnsi"/>
        </w:rPr>
        <w:tab/>
        <w:t>mancato superamento della soglia di sbarramento per l’offerta tecnica, se prevista.</w:t>
      </w:r>
    </w:p>
    <w:p w14:paraId="16CD0E13" w14:textId="77777777" w:rsidR="00120221" w:rsidRPr="00120221" w:rsidRDefault="00120221" w:rsidP="00120221">
      <w:pPr>
        <w:jc w:val="both"/>
        <w:rPr>
          <w:rFonts w:asciiTheme="majorHAnsi" w:hAnsiTheme="majorHAnsi" w:cstheme="majorHAnsi"/>
        </w:rPr>
      </w:pPr>
    </w:p>
    <w:p w14:paraId="366E32D0"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Si precisa che i requisiti di sicurezza previsti sul portale non consentono l’apertura delle offerte tecniche se non sono prima state aperte tutte le sezioni BUSTA DOCUMENTAZIONE presenti in ciascuna offerta presentata.</w:t>
      </w:r>
    </w:p>
    <w:p w14:paraId="3CA02C7B"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lastRenderedPageBreak/>
        <w:t>Allo stesso modo il sistema non consente l’apertura delle offerte economiche se non sono prima state aperte tutte le sezioni BUSTA TECNICA presenti in ciascuna offerta presentata e ne sia stata effettuata la valutazione.</w:t>
      </w:r>
    </w:p>
    <w:p w14:paraId="4CF8B1E8" w14:textId="67D73922" w:rsidR="00120221" w:rsidRDefault="00120221" w:rsidP="00120221">
      <w:pPr>
        <w:jc w:val="both"/>
        <w:rPr>
          <w:rFonts w:asciiTheme="majorHAnsi" w:hAnsiTheme="majorHAnsi" w:cstheme="majorHAnsi"/>
        </w:rPr>
      </w:pPr>
      <w:r w:rsidRPr="00120221">
        <w:rPr>
          <w:rFonts w:asciiTheme="majorHAnsi" w:hAnsiTheme="majorHAnsi" w:cstheme="majorHAnsi"/>
        </w:rPr>
        <w:t>Per la gestione operativa delle attività/comandi da azionare nell’ambito della Piattaforma telematica. la Commissione si avvale dei ruoli attivati sulla piattaforma e abilitati ad operare.</w:t>
      </w:r>
    </w:p>
    <w:p w14:paraId="7AC55612" w14:textId="77777777" w:rsidR="00120221" w:rsidRPr="00120221" w:rsidRDefault="00120221" w:rsidP="00120221">
      <w:pPr>
        <w:jc w:val="both"/>
        <w:rPr>
          <w:rFonts w:asciiTheme="majorHAnsi" w:hAnsiTheme="majorHAnsi" w:cstheme="majorHAnsi"/>
          <w:b/>
          <w:bCs/>
        </w:rPr>
      </w:pPr>
    </w:p>
    <w:p w14:paraId="17994AD9" w14:textId="64D5C55A" w:rsidR="00120221" w:rsidRPr="00120221" w:rsidRDefault="00120221" w:rsidP="00120221">
      <w:pPr>
        <w:jc w:val="both"/>
        <w:rPr>
          <w:rFonts w:asciiTheme="majorHAnsi" w:hAnsiTheme="majorHAnsi" w:cstheme="majorHAnsi"/>
          <w:b/>
          <w:bCs/>
        </w:rPr>
      </w:pPr>
      <w:r w:rsidRPr="00120221">
        <w:rPr>
          <w:rFonts w:asciiTheme="majorHAnsi" w:hAnsiTheme="majorHAnsi" w:cstheme="majorHAnsi"/>
          <w:b/>
          <w:bCs/>
        </w:rPr>
        <w:t>23</w:t>
      </w:r>
      <w:r>
        <w:rPr>
          <w:rFonts w:asciiTheme="majorHAnsi" w:hAnsiTheme="majorHAnsi" w:cstheme="majorHAnsi"/>
          <w:b/>
          <w:bCs/>
        </w:rPr>
        <w:t>.</w:t>
      </w:r>
      <w:r w:rsidRPr="00120221">
        <w:rPr>
          <w:rFonts w:asciiTheme="majorHAnsi" w:hAnsiTheme="majorHAnsi" w:cstheme="majorHAnsi"/>
          <w:b/>
          <w:bCs/>
        </w:rPr>
        <w:tab/>
        <w:t>VERIFICA DI ANOMALIA DELLE OFFERTE</w:t>
      </w:r>
    </w:p>
    <w:p w14:paraId="6ED929E4" w14:textId="4AECA67D" w:rsidR="00120221" w:rsidRPr="00120221" w:rsidRDefault="00120221" w:rsidP="00120221">
      <w:pPr>
        <w:jc w:val="both"/>
        <w:rPr>
          <w:rFonts w:asciiTheme="majorHAnsi" w:hAnsiTheme="majorHAnsi" w:cstheme="majorHAnsi"/>
        </w:rPr>
      </w:pPr>
      <w:r w:rsidRPr="00120221">
        <w:rPr>
          <w:rFonts w:asciiTheme="majorHAnsi" w:hAnsiTheme="majorHAnsi" w:cstheme="majorHAnsi"/>
        </w:rPr>
        <w:t>Ai sensi dell’art.110 del Codice, la congruità delle offerte è valutata sulle offerte che presentano sia i punti relativi all’offerta economica, sia la somma dei punti relativi agli altri elementi di valutazione, entrambi pari o superiori ai quattro quinti dei corrispondenti punti massimi previsti dal</w:t>
      </w:r>
      <w:r w:rsidR="00833D45">
        <w:rPr>
          <w:rFonts w:asciiTheme="majorHAnsi" w:hAnsiTheme="majorHAnsi" w:cstheme="majorHAnsi"/>
        </w:rPr>
        <w:t>la lettera di invito</w:t>
      </w:r>
      <w:r w:rsidRPr="00120221">
        <w:rPr>
          <w:rFonts w:asciiTheme="majorHAnsi" w:hAnsiTheme="majorHAnsi" w:cstheme="majorHAnsi"/>
        </w:rPr>
        <w:t>.</w:t>
      </w:r>
    </w:p>
    <w:p w14:paraId="1C28FF79"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Il predetto calcolo è effettuato ove il numero delle offerte ammesse sia pari o superiore a tre.</w:t>
      </w:r>
    </w:p>
    <w:p w14:paraId="6BDD914E"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Ai fini del raggiungimento del parametro dei “quattro quinti” riferito alla valutazione delle offerte tecniche, occorre considerare -per i criteri discrezionali- la media dei coefficienti assegnati dalla Commissione prima della cd normalizzazione di cui al paragrafo 18.2, ove prevista.</w:t>
      </w:r>
    </w:p>
    <w:p w14:paraId="2E1C6110"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La stazione appaltante si riserva la facoltà di sottoporre a verifica un’offerta che, in base anche ad altri ad elementi, ivi inclusi i costi della manodopera, appaia anormalmente bassa.</w:t>
      </w:r>
    </w:p>
    <w:p w14:paraId="11C462E1"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Nel caso in cui la prima migliore offerta appaia anormalmente bassa, il RUP avvalendosi, se ritenuto necessario, della Commissione, ne valuta la congruità, serietà, sostenibilità e realizzabilità.</w:t>
      </w:r>
    </w:p>
    <w:p w14:paraId="361210D4"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Qualora tale offerta risulti anomala, si procede con le stesse modalità nei confronti delle successive offerte ritenute anormalmente basse, fino ad individuare la migliore offerta ritenuta non anomala.</w:t>
      </w:r>
    </w:p>
    <w:p w14:paraId="6E1C6C9B"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 xml:space="preserve"> </w:t>
      </w:r>
    </w:p>
    <w:p w14:paraId="537F5D1C"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Il RUP richiede al concorrente la presentazione delle spiegazioni, se del caso, indicando le componenti specifiche dell’offerta ritenute anomale.</w:t>
      </w:r>
    </w:p>
    <w:p w14:paraId="5823DD1A"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A tal fine, assegna un termine non superiore a quindici giorni dal ricevimento della richiesta.</w:t>
      </w:r>
    </w:p>
    <w:p w14:paraId="72E617CB"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Il RUP, esaminate le spiegazioni fornite dall’offerente, ove le ritenga non sufficienti ad escludere l’anomalia, può chiedere, anche mediante audizione orale, ulteriori chiarimenti, assegnando un termine perentorio per il riscontro.</w:t>
      </w:r>
    </w:p>
    <w:p w14:paraId="002BAF6D"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Il RUP esclude le offerte che, in base all’esame degli elementi forniti con le spiegazioni risultino, nel complesso, inaffidabili.</w:t>
      </w:r>
    </w:p>
    <w:p w14:paraId="26F592A2"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A fini acceleratori, è facoltà della stazione appaltante procedere contemporaneamente alla verifica di congruità di più offerte anormalmente basse.</w:t>
      </w:r>
    </w:p>
    <w:p w14:paraId="360726DF"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In fase di presentazione delle giustificazioni, l’operatore è tenuto ad indicare eventuali motivi ostativi all’accesso in quanto coperte da segreti tecnico/commerciale. Tale dichiarazione dovrà essere adeguatamente motivata e comprovata ai sensi dell’art. 35, comma 4, lett. a), del Codice 36/2023. In caso di mancata dichiarazione, l’accesso si intende autorizzato.</w:t>
      </w:r>
    </w:p>
    <w:p w14:paraId="4B6B0EF4" w14:textId="77777777" w:rsidR="00120221" w:rsidRPr="00120221" w:rsidRDefault="00120221" w:rsidP="00120221">
      <w:pPr>
        <w:jc w:val="both"/>
        <w:rPr>
          <w:rFonts w:asciiTheme="majorHAnsi" w:hAnsiTheme="majorHAnsi" w:cstheme="majorHAnsi"/>
        </w:rPr>
      </w:pPr>
    </w:p>
    <w:p w14:paraId="65298D97" w14:textId="77777777" w:rsidR="00120221" w:rsidRPr="00120221" w:rsidRDefault="00120221" w:rsidP="00120221">
      <w:pPr>
        <w:jc w:val="both"/>
        <w:rPr>
          <w:rFonts w:asciiTheme="majorHAnsi" w:hAnsiTheme="majorHAnsi" w:cstheme="majorHAnsi"/>
        </w:rPr>
      </w:pPr>
    </w:p>
    <w:p w14:paraId="0629C9BA" w14:textId="78010102" w:rsidR="00120221" w:rsidRPr="00120221" w:rsidRDefault="00120221" w:rsidP="00120221">
      <w:pPr>
        <w:jc w:val="both"/>
        <w:rPr>
          <w:rFonts w:asciiTheme="majorHAnsi" w:hAnsiTheme="majorHAnsi" w:cstheme="majorHAnsi"/>
          <w:b/>
          <w:bCs/>
        </w:rPr>
      </w:pPr>
      <w:r w:rsidRPr="00120221">
        <w:rPr>
          <w:rFonts w:asciiTheme="majorHAnsi" w:hAnsiTheme="majorHAnsi" w:cstheme="majorHAnsi"/>
          <w:b/>
          <w:bCs/>
        </w:rPr>
        <w:t>24.</w:t>
      </w:r>
      <w:r w:rsidRPr="00120221">
        <w:rPr>
          <w:rFonts w:asciiTheme="majorHAnsi" w:hAnsiTheme="majorHAnsi" w:cstheme="majorHAnsi"/>
          <w:b/>
          <w:bCs/>
        </w:rPr>
        <w:tab/>
        <w:t>AGGIUDICAZIONE DELL’APPALTO E STIPULA DEL CONTRATTO</w:t>
      </w:r>
    </w:p>
    <w:p w14:paraId="0C2C9F51"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La Commissione invia al RUP la proposta di aggiudicazione in favore del concorrente che ha presentato la migliore offerta. Qualora vi sia stata verifica di congruità delle offerte anomale, la proposta di aggiudicazione è formulata dalla Commissione Giudicatrice a seguito della trasmissione da parte del RUP dell’esito del relativo procedimento.</w:t>
      </w:r>
    </w:p>
    <w:p w14:paraId="26E8A97D"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lastRenderedPageBreak/>
        <w:t>Il provvedimento di aggiudicazione è adottato ai sensi dell’art.17 del D.L.gs.n.36/2023 tenuto conto, tra l’altro, di quanto segue:</w:t>
      </w:r>
    </w:p>
    <w:p w14:paraId="46BAE9B1" w14:textId="15B84B12" w:rsidR="00120221" w:rsidRPr="00120221" w:rsidRDefault="00120221" w:rsidP="0069424C">
      <w:pPr>
        <w:pStyle w:val="Paragrafoelenco"/>
        <w:numPr>
          <w:ilvl w:val="1"/>
          <w:numId w:val="41"/>
        </w:numPr>
        <w:jc w:val="both"/>
        <w:rPr>
          <w:rFonts w:asciiTheme="majorHAnsi" w:hAnsiTheme="majorHAnsi" w:cstheme="majorHAnsi"/>
        </w:rPr>
      </w:pPr>
      <w:r w:rsidRPr="00120221">
        <w:rPr>
          <w:rFonts w:asciiTheme="majorHAnsi" w:hAnsiTheme="majorHAnsi" w:cstheme="majorHAnsi"/>
        </w:rPr>
        <w:t>la proposta di aggiudicazione risulti legittima e conforme all’interesse pubblico; qualora nessuna offerta risulti conveniente o idonea in relazione all’oggetto del contratto, la stazione appaltante può decidere, entro 30 giorni dalla conclusione delle valutazioni delle offerte, di non procedere all’aggiudicazione;</w:t>
      </w:r>
    </w:p>
    <w:p w14:paraId="0BA3F782" w14:textId="06AF9A5D" w:rsidR="00120221" w:rsidRPr="00120221" w:rsidRDefault="00120221" w:rsidP="0069424C">
      <w:pPr>
        <w:pStyle w:val="Paragrafoelenco"/>
        <w:numPr>
          <w:ilvl w:val="1"/>
          <w:numId w:val="41"/>
        </w:numPr>
        <w:jc w:val="both"/>
        <w:rPr>
          <w:rFonts w:asciiTheme="majorHAnsi" w:hAnsiTheme="majorHAnsi" w:cstheme="majorHAnsi"/>
        </w:rPr>
      </w:pPr>
      <w:r w:rsidRPr="00120221">
        <w:rPr>
          <w:rFonts w:asciiTheme="majorHAnsi" w:hAnsiTheme="majorHAnsi" w:cstheme="majorHAnsi"/>
        </w:rPr>
        <w:t>nel rispetto delle vigenti disposizioni in materia di contenimento della spesa pubblica;</w:t>
      </w:r>
    </w:p>
    <w:p w14:paraId="2C5ADF4A" w14:textId="21FF1D01" w:rsidR="00120221" w:rsidRPr="00120221" w:rsidRDefault="00120221" w:rsidP="0069424C">
      <w:pPr>
        <w:pStyle w:val="Paragrafoelenco"/>
        <w:numPr>
          <w:ilvl w:val="1"/>
          <w:numId w:val="41"/>
        </w:numPr>
        <w:jc w:val="both"/>
        <w:rPr>
          <w:rFonts w:asciiTheme="majorHAnsi" w:hAnsiTheme="majorHAnsi" w:cstheme="majorHAnsi"/>
        </w:rPr>
      </w:pPr>
      <w:r w:rsidRPr="00120221">
        <w:rPr>
          <w:rFonts w:asciiTheme="majorHAnsi" w:hAnsiTheme="majorHAnsi" w:cstheme="majorHAnsi"/>
        </w:rPr>
        <w:t>il RUP procede, laddove non effettuata in sede di verifica di congruità dell’offerta, a verificare:</w:t>
      </w:r>
    </w:p>
    <w:p w14:paraId="3534E20A" w14:textId="6C5E1FF3" w:rsidR="00120221" w:rsidRPr="00120221" w:rsidRDefault="00120221" w:rsidP="0069424C">
      <w:pPr>
        <w:pStyle w:val="Paragrafoelenco"/>
        <w:numPr>
          <w:ilvl w:val="0"/>
          <w:numId w:val="42"/>
        </w:numPr>
        <w:jc w:val="both"/>
        <w:rPr>
          <w:rFonts w:asciiTheme="majorHAnsi" w:hAnsiTheme="majorHAnsi" w:cstheme="majorHAnsi"/>
        </w:rPr>
      </w:pPr>
      <w:r w:rsidRPr="00120221">
        <w:rPr>
          <w:rFonts w:asciiTheme="majorHAnsi" w:hAnsiTheme="majorHAnsi" w:cstheme="majorHAnsi"/>
        </w:rPr>
        <w:t>l’equivalenza delle tutele nel caso in cui l’aggiudicatario abbia dichiarato di applicare un diverso contratto collettivo nazionale diverso rispetto a quello indicato dalla stazione appaltante e il rispetto di quanto indicato nella clausola sociale per l’applicazione dei contratti collettivi nazionali e territoriali di cui al paragrafo 9;</w:t>
      </w:r>
    </w:p>
    <w:p w14:paraId="48D07066" w14:textId="72E1D9C5" w:rsidR="00120221" w:rsidRPr="00120221" w:rsidRDefault="00120221" w:rsidP="0069424C">
      <w:pPr>
        <w:pStyle w:val="Paragrafoelenco"/>
        <w:numPr>
          <w:ilvl w:val="0"/>
          <w:numId w:val="42"/>
        </w:numPr>
        <w:jc w:val="both"/>
        <w:rPr>
          <w:rFonts w:asciiTheme="majorHAnsi" w:hAnsiTheme="majorHAnsi" w:cstheme="majorHAnsi"/>
        </w:rPr>
      </w:pPr>
      <w:r w:rsidRPr="00120221">
        <w:rPr>
          <w:rFonts w:asciiTheme="majorHAnsi" w:hAnsiTheme="majorHAnsi" w:cstheme="majorHAnsi"/>
        </w:rPr>
        <w:t>la congruità dei costi della manodopera indicati in offerta di cui all’art.108 co.9 del Codice, tenuto conto degli impegni assunti dall’appaltatore in relazione a quanto richiesto dal paragrafo 9;</w:t>
      </w:r>
    </w:p>
    <w:p w14:paraId="7F74DFED" w14:textId="1C42A810" w:rsidR="00120221" w:rsidRPr="00120221" w:rsidRDefault="00120221" w:rsidP="0069424C">
      <w:pPr>
        <w:pStyle w:val="Paragrafoelenco"/>
        <w:numPr>
          <w:ilvl w:val="1"/>
          <w:numId w:val="41"/>
        </w:numPr>
        <w:jc w:val="both"/>
        <w:rPr>
          <w:rFonts w:asciiTheme="majorHAnsi" w:hAnsiTheme="majorHAnsi" w:cstheme="majorHAnsi"/>
        </w:rPr>
      </w:pPr>
      <w:r w:rsidRPr="00120221">
        <w:rPr>
          <w:rFonts w:asciiTheme="majorHAnsi" w:hAnsiTheme="majorHAnsi" w:cstheme="majorHAnsi"/>
        </w:rPr>
        <w:t>a seguito della verifica dei requisiti di partecipazione;</w:t>
      </w:r>
    </w:p>
    <w:p w14:paraId="41BF965C" w14:textId="3ACACE7E" w:rsidR="00120221" w:rsidRDefault="00120221" w:rsidP="0069424C">
      <w:pPr>
        <w:pStyle w:val="Paragrafoelenco"/>
        <w:numPr>
          <w:ilvl w:val="1"/>
          <w:numId w:val="41"/>
        </w:numPr>
        <w:jc w:val="both"/>
        <w:rPr>
          <w:rFonts w:asciiTheme="majorHAnsi" w:hAnsiTheme="majorHAnsi" w:cstheme="majorHAnsi"/>
        </w:rPr>
      </w:pPr>
      <w:r w:rsidRPr="00120221">
        <w:rPr>
          <w:rFonts w:asciiTheme="majorHAnsi" w:hAnsiTheme="majorHAnsi" w:cstheme="majorHAnsi"/>
        </w:rPr>
        <w:t>a seguito della verifica (attivata o meno tenuto conto della prestazione oggetto del contratto), degli elementi costitutivi/migliorativi ove previsti oggetto di offerta, fatta salva la facoltà di effettuare tale controllo dopo l’adozione del provvedimento di aggiudicazione o dopo la stipula del contratto.</w:t>
      </w:r>
    </w:p>
    <w:p w14:paraId="3DBCA85E" w14:textId="77777777" w:rsidR="00120221" w:rsidRPr="00120221" w:rsidRDefault="00120221" w:rsidP="00120221">
      <w:pPr>
        <w:pStyle w:val="Paragrafoelenco"/>
        <w:ind w:left="1440"/>
        <w:jc w:val="both"/>
        <w:rPr>
          <w:rFonts w:asciiTheme="majorHAnsi" w:hAnsiTheme="majorHAnsi" w:cstheme="majorHAnsi"/>
        </w:rPr>
      </w:pPr>
    </w:p>
    <w:p w14:paraId="03755DAC" w14:textId="6DF82CA6" w:rsidR="00120221" w:rsidRDefault="00120221" w:rsidP="00120221">
      <w:pPr>
        <w:jc w:val="both"/>
        <w:rPr>
          <w:rFonts w:asciiTheme="majorHAnsi" w:hAnsiTheme="majorHAnsi" w:cstheme="majorHAnsi"/>
        </w:rPr>
      </w:pPr>
      <w:r w:rsidRPr="00120221">
        <w:rPr>
          <w:rFonts w:asciiTheme="majorHAnsi" w:hAnsiTheme="majorHAnsi" w:cstheme="majorHAnsi"/>
        </w:rPr>
        <w:t>In caso di esito negativo delle verifiche del possesso dei requisiti di partecipazione, si procede all’esclusione, alla segnalazione all’ANAC, ad incamerare la garanzia provvisoria nonché a ricalcolare i punteggi e a riformulare la graduatoria procedendo altresì, alle verifiche nei termini sopra indicati. Nell’ipotesi di ulteriore esito negativo delle verifiche si procede nei termini sopra detti.</w:t>
      </w:r>
    </w:p>
    <w:p w14:paraId="60B727D1"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La garanzia provvisoria dell’aggiudicatario è svincolata automaticamente al momento della stipula del contratto; la garanzia provvisoria degli altri concorrenti è svincolata con il provvedimento di aggiudicazione e perde, in ogni caso, efficacia entro 30 giorni dall’aggiudicazione.</w:t>
      </w:r>
    </w:p>
    <w:p w14:paraId="6D7F5676" w14:textId="77777777" w:rsidR="00120221" w:rsidRPr="00120221" w:rsidRDefault="00120221" w:rsidP="00120221">
      <w:pPr>
        <w:jc w:val="both"/>
        <w:rPr>
          <w:rFonts w:asciiTheme="majorHAnsi" w:hAnsiTheme="majorHAnsi" w:cstheme="majorHAnsi"/>
        </w:rPr>
      </w:pPr>
    </w:p>
    <w:p w14:paraId="4924EF64"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Ai fini della stipula del contratto, si provvederà – anche contestualmente –:</w:t>
      </w:r>
    </w:p>
    <w:p w14:paraId="2900B95A" w14:textId="21BDD6E8" w:rsidR="00120221" w:rsidRPr="00120221" w:rsidRDefault="00120221" w:rsidP="0069424C">
      <w:pPr>
        <w:pStyle w:val="Paragrafoelenco"/>
        <w:numPr>
          <w:ilvl w:val="0"/>
          <w:numId w:val="43"/>
        </w:numPr>
        <w:jc w:val="both"/>
        <w:rPr>
          <w:rFonts w:asciiTheme="majorHAnsi" w:hAnsiTheme="majorHAnsi" w:cstheme="majorHAnsi"/>
        </w:rPr>
      </w:pPr>
      <w:r w:rsidRPr="00120221">
        <w:rPr>
          <w:rFonts w:asciiTheme="majorHAnsi" w:hAnsiTheme="majorHAnsi" w:cstheme="majorHAnsi"/>
        </w:rPr>
        <w:t xml:space="preserve">ad assolvere agli obblighi di trasparenza, effettuare le pubblicazioni previste per legge nonché ad inoltrare le comunicazioni di cui all’art.90, co. 5, lett. a) del </w:t>
      </w:r>
      <w:proofErr w:type="gramStart"/>
      <w:r w:rsidRPr="00120221">
        <w:rPr>
          <w:rFonts w:asciiTheme="majorHAnsi" w:hAnsiTheme="majorHAnsi" w:cstheme="majorHAnsi"/>
        </w:rPr>
        <w:t>D.Lgs</w:t>
      </w:r>
      <w:proofErr w:type="gramEnd"/>
      <w:r w:rsidRPr="00120221">
        <w:rPr>
          <w:rFonts w:asciiTheme="majorHAnsi" w:hAnsiTheme="majorHAnsi" w:cstheme="majorHAnsi"/>
        </w:rPr>
        <w:t>.36/2023;</w:t>
      </w:r>
    </w:p>
    <w:p w14:paraId="1BD38C5C" w14:textId="33274B3C" w:rsidR="00120221" w:rsidRPr="00120221" w:rsidRDefault="00120221" w:rsidP="0069424C">
      <w:pPr>
        <w:pStyle w:val="Paragrafoelenco"/>
        <w:numPr>
          <w:ilvl w:val="0"/>
          <w:numId w:val="43"/>
        </w:numPr>
        <w:jc w:val="both"/>
        <w:rPr>
          <w:rFonts w:asciiTheme="majorHAnsi" w:hAnsiTheme="majorHAnsi" w:cstheme="majorHAnsi"/>
        </w:rPr>
      </w:pPr>
      <w:r w:rsidRPr="00120221">
        <w:rPr>
          <w:rFonts w:asciiTheme="majorHAnsi" w:hAnsiTheme="majorHAnsi" w:cstheme="majorHAnsi"/>
        </w:rPr>
        <w:t>a richiedere all’operatore economico aggiudicatario la presentazione, di regola entro il termine di giorni 10 e con le modalità che saranno comunicate, la seguente documentazione:</w:t>
      </w:r>
    </w:p>
    <w:p w14:paraId="1DBC7705" w14:textId="702F7C77" w:rsidR="00120221" w:rsidRPr="00120221" w:rsidRDefault="00120221" w:rsidP="0069424C">
      <w:pPr>
        <w:pStyle w:val="Paragrafoelenco"/>
        <w:numPr>
          <w:ilvl w:val="0"/>
          <w:numId w:val="44"/>
        </w:numPr>
        <w:jc w:val="both"/>
        <w:rPr>
          <w:rFonts w:asciiTheme="majorHAnsi" w:hAnsiTheme="majorHAnsi" w:cstheme="majorHAnsi"/>
        </w:rPr>
      </w:pPr>
      <w:r w:rsidRPr="00120221">
        <w:rPr>
          <w:rFonts w:asciiTheme="majorHAnsi" w:hAnsiTheme="majorHAnsi" w:cstheme="majorHAnsi"/>
        </w:rPr>
        <w:t>Dichiarazione indicante la persona (completa di data e luogo di nascita e di codice fiscale) che sottoscriverà il contratto con relativi poteri nell’ipotesi di stipula mediante corrispondenza;</w:t>
      </w:r>
    </w:p>
    <w:p w14:paraId="622ECD3C" w14:textId="4F2D0C5B" w:rsidR="00120221" w:rsidRPr="00120221" w:rsidRDefault="00120221" w:rsidP="0069424C">
      <w:pPr>
        <w:pStyle w:val="Paragrafoelenco"/>
        <w:numPr>
          <w:ilvl w:val="0"/>
          <w:numId w:val="44"/>
        </w:numPr>
        <w:jc w:val="both"/>
        <w:rPr>
          <w:rFonts w:asciiTheme="majorHAnsi" w:hAnsiTheme="majorHAnsi" w:cstheme="majorHAnsi"/>
        </w:rPr>
      </w:pPr>
      <w:r w:rsidRPr="00120221">
        <w:rPr>
          <w:rFonts w:asciiTheme="majorHAnsi" w:hAnsiTheme="majorHAnsi" w:cstheme="majorHAnsi"/>
        </w:rPr>
        <w:t>Dichiarazione completa di codice IBAN indicante il conto dedicato, sul quale sarà accreditato il corrispettivo, ai sensi dell’art. 3 della legge 136/2010;</w:t>
      </w:r>
    </w:p>
    <w:p w14:paraId="38846F82" w14:textId="6442EA3A" w:rsidR="00120221" w:rsidRPr="00120221" w:rsidRDefault="00120221" w:rsidP="0069424C">
      <w:pPr>
        <w:pStyle w:val="Paragrafoelenco"/>
        <w:numPr>
          <w:ilvl w:val="0"/>
          <w:numId w:val="44"/>
        </w:numPr>
        <w:jc w:val="both"/>
        <w:rPr>
          <w:rFonts w:asciiTheme="majorHAnsi" w:hAnsiTheme="majorHAnsi" w:cstheme="majorHAnsi"/>
        </w:rPr>
      </w:pPr>
      <w:r w:rsidRPr="00120221">
        <w:rPr>
          <w:rFonts w:asciiTheme="majorHAnsi" w:hAnsiTheme="majorHAnsi" w:cstheme="majorHAnsi"/>
        </w:rPr>
        <w:lastRenderedPageBreak/>
        <w:t>Dichiarazione indicante le generalità ed il codice fiscale delle persone delegate ad operare sul conto dedicato, ai sensi dell’art. 3 della legge 136/2010;</w:t>
      </w:r>
    </w:p>
    <w:p w14:paraId="4BB6999B" w14:textId="78D80767" w:rsidR="00120221" w:rsidRPr="00120221" w:rsidRDefault="00120221" w:rsidP="0069424C">
      <w:pPr>
        <w:pStyle w:val="Paragrafoelenco"/>
        <w:numPr>
          <w:ilvl w:val="0"/>
          <w:numId w:val="44"/>
        </w:numPr>
        <w:jc w:val="both"/>
        <w:rPr>
          <w:rFonts w:asciiTheme="majorHAnsi" w:hAnsiTheme="majorHAnsi" w:cstheme="majorHAnsi"/>
        </w:rPr>
      </w:pPr>
      <w:r w:rsidRPr="00120221">
        <w:rPr>
          <w:rFonts w:asciiTheme="majorHAnsi" w:hAnsiTheme="majorHAnsi" w:cstheme="majorHAnsi"/>
        </w:rPr>
        <w:t>Garanzia definitiva;</w:t>
      </w:r>
    </w:p>
    <w:p w14:paraId="372F9ECF" w14:textId="432069ED" w:rsidR="00120221" w:rsidRPr="00120221" w:rsidRDefault="00120221" w:rsidP="0069424C">
      <w:pPr>
        <w:pStyle w:val="Paragrafoelenco"/>
        <w:numPr>
          <w:ilvl w:val="0"/>
          <w:numId w:val="44"/>
        </w:numPr>
        <w:jc w:val="both"/>
        <w:rPr>
          <w:rFonts w:asciiTheme="majorHAnsi" w:hAnsiTheme="majorHAnsi" w:cstheme="majorHAnsi"/>
        </w:rPr>
      </w:pPr>
      <w:r w:rsidRPr="00120221">
        <w:rPr>
          <w:rFonts w:asciiTheme="majorHAnsi" w:hAnsiTheme="majorHAnsi" w:cstheme="majorHAnsi"/>
        </w:rPr>
        <w:t>(</w:t>
      </w:r>
      <w:r w:rsidRPr="00120221">
        <w:rPr>
          <w:rFonts w:asciiTheme="majorHAnsi" w:hAnsiTheme="majorHAnsi" w:cstheme="majorHAnsi"/>
          <w:i/>
          <w:iCs/>
        </w:rPr>
        <w:t>in caso di ATI</w:t>
      </w:r>
      <w:r w:rsidRPr="00120221">
        <w:rPr>
          <w:rFonts w:asciiTheme="majorHAnsi" w:hAnsiTheme="majorHAnsi" w:cstheme="majorHAnsi"/>
        </w:rPr>
        <w:t>): atto di costituzione dell’associazione temporanea di imprese completo di mandato collettivo speciale con rappresentanza all’impresa capogruppo; tale mandato deve contenere espressamente il riferimento all’art.68 del D.Lgs.n.36/2023 riportandone le relative prescrizioni e deve risultare da scrittura privata autenticata notarile;</w:t>
      </w:r>
    </w:p>
    <w:p w14:paraId="38EC3A53" w14:textId="248A8BB6" w:rsidR="00120221" w:rsidRPr="00120221" w:rsidRDefault="00120221" w:rsidP="0069424C">
      <w:pPr>
        <w:pStyle w:val="Paragrafoelenco"/>
        <w:numPr>
          <w:ilvl w:val="0"/>
          <w:numId w:val="44"/>
        </w:numPr>
        <w:jc w:val="both"/>
        <w:rPr>
          <w:rFonts w:asciiTheme="majorHAnsi" w:hAnsiTheme="majorHAnsi" w:cstheme="majorHAnsi"/>
        </w:rPr>
      </w:pPr>
      <w:r w:rsidRPr="00120221">
        <w:rPr>
          <w:rFonts w:asciiTheme="majorHAnsi" w:hAnsiTheme="majorHAnsi" w:cstheme="majorHAnsi"/>
        </w:rPr>
        <w:t>(</w:t>
      </w:r>
      <w:r w:rsidRPr="00120221">
        <w:rPr>
          <w:rFonts w:asciiTheme="majorHAnsi" w:hAnsiTheme="majorHAnsi" w:cstheme="majorHAnsi"/>
          <w:i/>
          <w:iCs/>
        </w:rPr>
        <w:t>in caso di consorzi – associazioni – onlus</w:t>
      </w:r>
      <w:r w:rsidRPr="00120221">
        <w:rPr>
          <w:rFonts w:asciiTheme="majorHAnsi" w:hAnsiTheme="majorHAnsi" w:cstheme="majorHAnsi"/>
        </w:rPr>
        <w:t>): atto costitutivo, statuto, libro soci e ogni altra documentazione (es. delibere di integrazione) dai quali devono risultare espressamente i nominativi dei soggetti che ricoprono cariche sociali, completi di data e luogo di nascita e codice fiscale, nonché la composizione societaria con relativa quota;</w:t>
      </w:r>
    </w:p>
    <w:p w14:paraId="598654CC" w14:textId="534C72E0" w:rsidR="00120221" w:rsidRPr="009D115E" w:rsidRDefault="00120221" w:rsidP="0069424C">
      <w:pPr>
        <w:pStyle w:val="Paragrafoelenco"/>
        <w:numPr>
          <w:ilvl w:val="0"/>
          <w:numId w:val="44"/>
        </w:numPr>
        <w:jc w:val="both"/>
        <w:rPr>
          <w:rFonts w:asciiTheme="majorHAnsi" w:hAnsiTheme="majorHAnsi" w:cstheme="majorHAnsi"/>
        </w:rPr>
      </w:pPr>
      <w:r w:rsidRPr="00120221">
        <w:rPr>
          <w:rFonts w:asciiTheme="majorHAnsi" w:hAnsiTheme="majorHAnsi" w:cstheme="majorHAnsi"/>
        </w:rPr>
        <w:t>Copia di eventuali polizze;</w:t>
      </w:r>
    </w:p>
    <w:p w14:paraId="116FFD5D" w14:textId="47678999" w:rsidR="00120221" w:rsidRPr="009D115E" w:rsidRDefault="00120221" w:rsidP="0069424C">
      <w:pPr>
        <w:pStyle w:val="Paragrafoelenco"/>
        <w:numPr>
          <w:ilvl w:val="0"/>
          <w:numId w:val="44"/>
        </w:numPr>
        <w:jc w:val="both"/>
        <w:rPr>
          <w:rFonts w:asciiTheme="majorHAnsi" w:hAnsiTheme="majorHAnsi" w:cstheme="majorHAnsi"/>
        </w:rPr>
      </w:pPr>
      <w:r w:rsidRPr="009D115E">
        <w:rPr>
          <w:rFonts w:asciiTheme="majorHAnsi" w:hAnsiTheme="majorHAnsi" w:cstheme="majorHAnsi"/>
        </w:rPr>
        <w:t>versamento dell’imposta sostitutiva di bollo ex art.18 co.10 del Codice.</w:t>
      </w:r>
    </w:p>
    <w:p w14:paraId="1A635E96" w14:textId="77777777" w:rsidR="00120221" w:rsidRPr="00120221" w:rsidRDefault="00120221" w:rsidP="00651BB4">
      <w:pPr>
        <w:pStyle w:val="Paragrafoelenco"/>
        <w:jc w:val="both"/>
        <w:rPr>
          <w:rFonts w:asciiTheme="majorHAnsi" w:hAnsiTheme="majorHAnsi" w:cstheme="majorHAnsi"/>
          <w:strike/>
          <w:highlight w:val="green"/>
        </w:rPr>
      </w:pPr>
    </w:p>
    <w:p w14:paraId="105797CE"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Il contratto è stipulato non prima di 35 giorni dall’invio dell’ultima delle comunicazioni del provvedimento di aggiudicazione a mezzo piattaforma Sintel. La stipula del contratto ha luogo entro i successivi 60 giorni.</w:t>
      </w:r>
    </w:p>
    <w:p w14:paraId="0B676419" w14:textId="77777777" w:rsidR="00120221" w:rsidRPr="00120221" w:rsidRDefault="00120221" w:rsidP="00120221">
      <w:pPr>
        <w:jc w:val="both"/>
        <w:rPr>
          <w:rFonts w:asciiTheme="majorHAnsi" w:hAnsiTheme="majorHAnsi" w:cstheme="majorHAnsi"/>
        </w:rPr>
      </w:pPr>
    </w:p>
    <w:p w14:paraId="1877D7A5"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A seguito di richiesta motivata proveniente dall’aggiudicatario la data di stipula del contratto può essere differita purché ritenuta compatibile con la sollecita esecuzione del contratto stesso.</w:t>
      </w:r>
    </w:p>
    <w:p w14:paraId="48989022"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Se la stipula del contratto non avviene nel termine per fatto della stazione appaltante, l’aggiudicatario può farne constatare il silenzio inadempimento o, in alternativa, può sciogliersi da ogni vincolo mediante atto notificato. All’aggiudicatario non spetta alcun indennizzo, salvo il rimborso delle spese contrattuali.</w:t>
      </w:r>
    </w:p>
    <w:p w14:paraId="1FDE553A"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Se la stipula del contratto non avviene nel termine fissato per fatto dell’aggiudicatario – ivi compresa l’ipotesi di mancata o tardiva presentazione della documentazione richiesta ai fini della stipula - può costituire motivo di revoca dell’aggiudicazione.</w:t>
      </w:r>
    </w:p>
    <w:p w14:paraId="2F7842A0"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La mancata o tardiva stipula del contratto al di fuori delle ipotesi predette, costituisce violazione del dovere di buona fede, anche in pendenza di contenzioso.</w:t>
      </w:r>
    </w:p>
    <w:p w14:paraId="33A0C293"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L’aggiudicatario deposita, prima o contestualmente alla sottoscrizione del contratto di appalto, i contratti continuativi di cooperazione, servizio e/o fornitura di cui all’articolo 119 comma 3 lett. d) del Codice.</w:t>
      </w:r>
    </w:p>
    <w:p w14:paraId="39556210"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 xml:space="preserve"> </w:t>
      </w:r>
    </w:p>
    <w:p w14:paraId="1B9FBF6E"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L’affidatario comunica, per ogni sub-contratto che non costituisce subappalto, l’importo e l’oggetto del medesimo, nonché il nome del sub-contraente, prima dell’inizio della prestazione.</w:t>
      </w:r>
    </w:p>
    <w:p w14:paraId="5A7F9A9A" w14:textId="77777777" w:rsidR="00120221" w:rsidRPr="00120221" w:rsidRDefault="00120221" w:rsidP="00120221">
      <w:pPr>
        <w:jc w:val="both"/>
        <w:rPr>
          <w:rFonts w:asciiTheme="majorHAnsi" w:hAnsiTheme="majorHAnsi" w:cstheme="majorHAnsi"/>
        </w:rPr>
      </w:pPr>
    </w:p>
    <w:p w14:paraId="6C5AF643"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Il contratto sarà stipulato in modalità elettronica mediante scrittura privata non autenticata. Tutte le spese inerenti e conseguenti sono a carico dell’appaltatore.</w:t>
      </w:r>
    </w:p>
    <w:p w14:paraId="78A64CE4" w14:textId="77777777" w:rsidR="00120221" w:rsidRPr="00120221" w:rsidRDefault="00120221" w:rsidP="00120221">
      <w:pPr>
        <w:jc w:val="both"/>
        <w:rPr>
          <w:rFonts w:asciiTheme="majorHAnsi" w:hAnsiTheme="majorHAnsi" w:cstheme="majorHAnsi"/>
        </w:rPr>
      </w:pPr>
    </w:p>
    <w:p w14:paraId="1EE0BE0B" w14:textId="77777777" w:rsidR="00120221" w:rsidRPr="00120221" w:rsidRDefault="00120221" w:rsidP="00120221">
      <w:pPr>
        <w:jc w:val="both"/>
        <w:rPr>
          <w:rFonts w:asciiTheme="majorHAnsi" w:hAnsiTheme="majorHAnsi" w:cstheme="majorHAnsi"/>
        </w:rPr>
      </w:pPr>
      <w:r w:rsidRPr="00120221">
        <w:rPr>
          <w:rFonts w:asciiTheme="majorHAnsi" w:hAnsiTheme="majorHAnsi" w:cstheme="majorHAnsi"/>
        </w:rPr>
        <w:t>Sono a carico dell’aggiudicatario anche tutte le spese contrattuali, gli oneri fiscali quali imposte e tasse - ivi comprese quelle di registro ove dovute - relative alla stipulazione del contratto, come sopra indicate.</w:t>
      </w:r>
    </w:p>
    <w:p w14:paraId="0B55C554" w14:textId="2EE75F2C" w:rsidR="00120221" w:rsidRDefault="00120221" w:rsidP="00120221">
      <w:pPr>
        <w:jc w:val="both"/>
        <w:rPr>
          <w:rFonts w:asciiTheme="majorHAnsi" w:hAnsiTheme="majorHAnsi" w:cstheme="majorHAnsi"/>
        </w:rPr>
      </w:pPr>
      <w:r w:rsidRPr="00120221">
        <w:rPr>
          <w:rFonts w:asciiTheme="majorHAnsi" w:hAnsiTheme="majorHAnsi" w:cstheme="majorHAnsi"/>
        </w:rPr>
        <w:t>In caso di interpello a seguito di risoluzione/recesso del contratto in corso di esecuzione, il nuovo affidamento avviene alle condizioni proposte dall’operatore economico interpellato, ai sensi dell’art. 124 comma 2 del Codice.</w:t>
      </w:r>
    </w:p>
    <w:p w14:paraId="25A07BFE" w14:textId="77777777" w:rsidR="00651BB4" w:rsidRDefault="00651BB4" w:rsidP="00120221">
      <w:pPr>
        <w:jc w:val="both"/>
        <w:rPr>
          <w:rFonts w:asciiTheme="majorHAnsi" w:hAnsiTheme="majorHAnsi" w:cstheme="majorHAnsi"/>
        </w:rPr>
      </w:pPr>
    </w:p>
    <w:p w14:paraId="11EF9DAF" w14:textId="6B48ED93" w:rsidR="00651BB4" w:rsidRPr="00651BB4" w:rsidRDefault="00651BB4" w:rsidP="00651BB4">
      <w:pPr>
        <w:jc w:val="both"/>
        <w:rPr>
          <w:rFonts w:asciiTheme="majorHAnsi" w:hAnsiTheme="majorHAnsi" w:cstheme="majorHAnsi"/>
          <w:b/>
          <w:bCs/>
        </w:rPr>
      </w:pPr>
      <w:r w:rsidRPr="00651BB4">
        <w:rPr>
          <w:rFonts w:asciiTheme="majorHAnsi" w:hAnsiTheme="majorHAnsi" w:cstheme="majorHAnsi"/>
          <w:b/>
          <w:bCs/>
        </w:rPr>
        <w:t>25.</w:t>
      </w:r>
      <w:r w:rsidRPr="00651BB4">
        <w:rPr>
          <w:rFonts w:asciiTheme="majorHAnsi" w:hAnsiTheme="majorHAnsi" w:cstheme="majorHAnsi"/>
          <w:b/>
          <w:bCs/>
        </w:rPr>
        <w:tab/>
        <w:t>OBBLIGHI RELATIVI ALLA TRACCIABILITÀ DEI FLUSSI FINANZIARI</w:t>
      </w:r>
    </w:p>
    <w:p w14:paraId="3080FE12"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Il contratto d’appalto è soggetto agli obblighi in tema di tracciabilità dei flussi finanziari di cui alla l. 13 agosto 2010, n. 136. L’affidatario deve comunicare alla stazione appaltante:</w:t>
      </w:r>
    </w:p>
    <w:p w14:paraId="5F9FB48E" w14:textId="77777777" w:rsidR="00651BB4" w:rsidRPr="00651BB4" w:rsidRDefault="00651BB4" w:rsidP="00651BB4">
      <w:pPr>
        <w:ind w:left="705" w:hanging="705"/>
        <w:jc w:val="both"/>
        <w:rPr>
          <w:rFonts w:asciiTheme="majorHAnsi" w:hAnsiTheme="majorHAnsi" w:cstheme="majorHAnsi"/>
        </w:rPr>
      </w:pPr>
      <w:r w:rsidRPr="00651BB4">
        <w:rPr>
          <w:rFonts w:asciiTheme="majorHAnsi" w:hAnsiTheme="majorHAnsi" w:cstheme="majorHAnsi"/>
        </w:rPr>
        <w:t>•</w:t>
      </w:r>
      <w:r w:rsidRPr="00651BB4">
        <w:rPr>
          <w:rFonts w:asciiTheme="majorHAnsi" w:hAnsiTheme="majorHAnsi" w:cstheme="majorHAnsi"/>
        </w:rPr>
        <w:tab/>
        <w:t>gli estremi identificativi dei conti correnti bancari o postali dedicati, con l'indicazione dell'opera/servizio/fornitura alla quale sono dedicati;</w:t>
      </w:r>
    </w:p>
    <w:p w14:paraId="0CDE9863"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w:t>
      </w:r>
      <w:r w:rsidRPr="00651BB4">
        <w:rPr>
          <w:rFonts w:asciiTheme="majorHAnsi" w:hAnsiTheme="majorHAnsi" w:cstheme="majorHAnsi"/>
        </w:rPr>
        <w:tab/>
        <w:t>le generalità e il codice fiscale delle persone delegate ad operare sugli stessi;</w:t>
      </w:r>
    </w:p>
    <w:p w14:paraId="5288B78D"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w:t>
      </w:r>
      <w:r w:rsidRPr="00651BB4">
        <w:rPr>
          <w:rFonts w:asciiTheme="majorHAnsi" w:hAnsiTheme="majorHAnsi" w:cstheme="majorHAnsi"/>
        </w:rPr>
        <w:tab/>
        <w:t>ogni modifica relativa ai dati trasmessi.</w:t>
      </w:r>
    </w:p>
    <w:p w14:paraId="61F66ECB"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500 a 3.000 euro.</w:t>
      </w:r>
    </w:p>
    <w:p w14:paraId="46054207"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Il mancato adempimento agli obblighi previsti per la tracciabilità dei flussi finanziari relativi all’appalto comporta la risoluzione di diritto del contratto.</w:t>
      </w:r>
    </w:p>
    <w:p w14:paraId="52C2F00B"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In occasione di ogni pagamento all’appaltatore o di interventi di controllo ulteriori si procede alla verifica dell’assolvimento degli obblighi relativi alla tracciabilità dei flussi finanziari.</w:t>
      </w:r>
    </w:p>
    <w:p w14:paraId="1B7FA63F"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contratto.</w:t>
      </w:r>
    </w:p>
    <w:p w14:paraId="0B1986F9" w14:textId="77777777" w:rsidR="00651BB4" w:rsidRPr="00651BB4" w:rsidRDefault="00651BB4" w:rsidP="00651BB4">
      <w:pPr>
        <w:jc w:val="both"/>
        <w:rPr>
          <w:rFonts w:asciiTheme="majorHAnsi" w:hAnsiTheme="majorHAnsi" w:cstheme="majorHAnsi"/>
        </w:rPr>
      </w:pPr>
    </w:p>
    <w:p w14:paraId="6D5BA7E4" w14:textId="67CF1AE8" w:rsidR="00651BB4" w:rsidRPr="00651BB4" w:rsidRDefault="00651BB4" w:rsidP="00651BB4">
      <w:pPr>
        <w:jc w:val="both"/>
        <w:rPr>
          <w:rFonts w:asciiTheme="majorHAnsi" w:hAnsiTheme="majorHAnsi" w:cstheme="majorHAnsi"/>
          <w:b/>
          <w:bCs/>
        </w:rPr>
      </w:pPr>
      <w:r w:rsidRPr="00651BB4">
        <w:rPr>
          <w:rFonts w:asciiTheme="majorHAnsi" w:hAnsiTheme="majorHAnsi" w:cstheme="majorHAnsi"/>
          <w:b/>
          <w:bCs/>
        </w:rPr>
        <w:t>26.</w:t>
      </w:r>
      <w:r w:rsidRPr="00651BB4">
        <w:rPr>
          <w:rFonts w:asciiTheme="majorHAnsi" w:hAnsiTheme="majorHAnsi" w:cstheme="majorHAnsi"/>
          <w:b/>
          <w:bCs/>
        </w:rPr>
        <w:tab/>
        <w:t>CODICE DI COMPORTAMENTO</w:t>
      </w:r>
    </w:p>
    <w:p w14:paraId="7044C0D3"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Nello svolgimento delle attività oggetto del contratto di appalto, l’aggiudicatario deve uniformarsi ai principi e, per quanto compatibili, ai doveri di condotta richiamati nel Decreto del Presidente della Repubblica 16 aprile 2013 n. 62 e nel codice di comportamento di questa stazione appaltante e nel Piano Triennale di Prevenzione della Corruzione e della Trasparenza.</w:t>
      </w:r>
    </w:p>
    <w:p w14:paraId="4611911C" w14:textId="447C9D3D" w:rsidR="00651BB4" w:rsidRPr="00651BB4" w:rsidRDefault="00651BB4" w:rsidP="00651BB4">
      <w:pPr>
        <w:jc w:val="both"/>
        <w:rPr>
          <w:rFonts w:asciiTheme="majorHAnsi" w:hAnsiTheme="majorHAnsi" w:cstheme="majorHAnsi"/>
        </w:rPr>
      </w:pPr>
      <w:r w:rsidRPr="00651BB4">
        <w:rPr>
          <w:rFonts w:asciiTheme="majorHAnsi" w:hAnsiTheme="majorHAnsi" w:cstheme="majorHAnsi"/>
        </w:rPr>
        <w:t xml:space="preserve"> </w:t>
      </w:r>
      <w:r>
        <w:rPr>
          <w:rFonts w:asciiTheme="majorHAnsi" w:hAnsiTheme="majorHAnsi" w:cstheme="majorHAnsi"/>
        </w:rPr>
        <w:t xml:space="preserve"> </w:t>
      </w:r>
    </w:p>
    <w:p w14:paraId="3E05722C" w14:textId="0F4835E3" w:rsidR="00651BB4" w:rsidRPr="00651BB4" w:rsidRDefault="00651BB4" w:rsidP="00651BB4">
      <w:pPr>
        <w:jc w:val="both"/>
        <w:rPr>
          <w:rFonts w:asciiTheme="majorHAnsi" w:hAnsiTheme="majorHAnsi" w:cstheme="majorHAnsi"/>
          <w:b/>
          <w:bCs/>
        </w:rPr>
      </w:pPr>
      <w:r w:rsidRPr="00651BB4">
        <w:rPr>
          <w:rFonts w:asciiTheme="majorHAnsi" w:hAnsiTheme="majorHAnsi" w:cstheme="majorHAnsi"/>
          <w:b/>
          <w:bCs/>
        </w:rPr>
        <w:t>27.</w:t>
      </w:r>
      <w:r w:rsidRPr="00651BB4">
        <w:rPr>
          <w:rFonts w:asciiTheme="majorHAnsi" w:hAnsiTheme="majorHAnsi" w:cstheme="majorHAnsi"/>
          <w:b/>
          <w:bCs/>
        </w:rPr>
        <w:tab/>
        <w:t>ACCESSO AGLI ATTI</w:t>
      </w:r>
    </w:p>
    <w:p w14:paraId="71F9E03E"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L’accesso agli atti della procedura è assicurato in modalità digitale, tramite la funzionalità “Comunicazioni della procedura” della Piattaforma Sintel.</w:t>
      </w:r>
    </w:p>
    <w:p w14:paraId="1A1C97B2"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 xml:space="preserve">L’accesso agli atti della procedura è disciplinato dagli artt. 35 e .36 del D.Lgs. </w:t>
      </w:r>
      <w:proofErr w:type="gramStart"/>
      <w:r w:rsidRPr="00651BB4">
        <w:rPr>
          <w:rFonts w:asciiTheme="majorHAnsi" w:hAnsiTheme="majorHAnsi" w:cstheme="majorHAnsi"/>
        </w:rPr>
        <w:t>.n.</w:t>
      </w:r>
      <w:proofErr w:type="gramEnd"/>
      <w:r w:rsidRPr="00651BB4">
        <w:rPr>
          <w:rFonts w:asciiTheme="majorHAnsi" w:hAnsiTheme="majorHAnsi" w:cstheme="majorHAnsi"/>
        </w:rPr>
        <w:t xml:space="preserve"> 36/2023, tramite la medesima funzionalità.</w:t>
      </w:r>
    </w:p>
    <w:p w14:paraId="55F4542A" w14:textId="77777777" w:rsidR="00651BB4" w:rsidRPr="008E3E62" w:rsidRDefault="00651BB4" w:rsidP="00651BB4">
      <w:pPr>
        <w:jc w:val="both"/>
        <w:rPr>
          <w:rFonts w:asciiTheme="majorHAnsi" w:hAnsiTheme="majorHAnsi" w:cstheme="majorHAnsi"/>
          <w:b/>
          <w:bCs/>
        </w:rPr>
      </w:pPr>
    </w:p>
    <w:p w14:paraId="194DBA8F" w14:textId="70F4B6C8" w:rsidR="00651BB4" w:rsidRPr="008E3E62" w:rsidRDefault="00651BB4" w:rsidP="00651BB4">
      <w:pPr>
        <w:jc w:val="both"/>
        <w:rPr>
          <w:rFonts w:asciiTheme="majorHAnsi" w:hAnsiTheme="majorHAnsi" w:cstheme="majorHAnsi"/>
          <w:b/>
          <w:bCs/>
        </w:rPr>
      </w:pPr>
      <w:r w:rsidRPr="008E3E62">
        <w:rPr>
          <w:rFonts w:asciiTheme="majorHAnsi" w:hAnsiTheme="majorHAnsi" w:cstheme="majorHAnsi"/>
          <w:b/>
          <w:bCs/>
        </w:rPr>
        <w:t>28</w:t>
      </w:r>
      <w:r w:rsidR="008E3E62" w:rsidRPr="008E3E62">
        <w:rPr>
          <w:rFonts w:asciiTheme="majorHAnsi" w:hAnsiTheme="majorHAnsi" w:cstheme="majorHAnsi"/>
          <w:b/>
          <w:bCs/>
        </w:rPr>
        <w:t>.</w:t>
      </w:r>
      <w:r w:rsidRPr="008E3E62">
        <w:rPr>
          <w:rFonts w:asciiTheme="majorHAnsi" w:hAnsiTheme="majorHAnsi" w:cstheme="majorHAnsi"/>
          <w:b/>
          <w:bCs/>
        </w:rPr>
        <w:tab/>
        <w:t>DEFINIZIONE DELLE CONTROVERSIE</w:t>
      </w:r>
    </w:p>
    <w:p w14:paraId="55FAB79F" w14:textId="51C76133" w:rsidR="00651BB4" w:rsidRPr="00651BB4" w:rsidRDefault="00651BB4" w:rsidP="00651BB4">
      <w:pPr>
        <w:jc w:val="both"/>
        <w:rPr>
          <w:rFonts w:asciiTheme="majorHAnsi" w:hAnsiTheme="majorHAnsi" w:cstheme="majorHAnsi"/>
        </w:rPr>
      </w:pPr>
      <w:r w:rsidRPr="00651BB4">
        <w:rPr>
          <w:rFonts w:asciiTheme="majorHAnsi" w:hAnsiTheme="majorHAnsi" w:cstheme="majorHAnsi"/>
        </w:rPr>
        <w:t xml:space="preserve">L’Autorità Amministrativa competente per eventuali ricorsi giurisdizionali attinenti all’affidamento della presente procedura è il TAR </w:t>
      </w:r>
      <w:r w:rsidRPr="008E3E62">
        <w:rPr>
          <w:rFonts w:asciiTheme="majorHAnsi" w:hAnsiTheme="majorHAnsi" w:cstheme="majorHAnsi"/>
        </w:rPr>
        <w:t>Brescia. Eventuali</w:t>
      </w:r>
      <w:r w:rsidRPr="00651BB4">
        <w:rPr>
          <w:rFonts w:asciiTheme="majorHAnsi" w:hAnsiTheme="majorHAnsi" w:cstheme="majorHAnsi"/>
        </w:rPr>
        <w:t xml:space="preserve"> ricorsi devono essere presentati entro 30 giorni al Tribunale Amministrativo Regionale di Milano, sez. Brescia, via Zima, 3 25121 Brescia </w:t>
      </w:r>
      <w:hyperlink r:id="rId25" w:history="1">
        <w:r w:rsidR="008E3E62" w:rsidRPr="00A55996">
          <w:rPr>
            <w:rStyle w:val="Collegamentoipertestuale"/>
            <w:rFonts w:asciiTheme="majorHAnsi" w:hAnsiTheme="majorHAnsi" w:cstheme="majorHAnsi"/>
          </w:rPr>
          <w:t>tarbrescia@tarbrescia.it</w:t>
        </w:r>
      </w:hyperlink>
      <w:r w:rsidR="008E3E62">
        <w:rPr>
          <w:rFonts w:asciiTheme="majorHAnsi" w:hAnsiTheme="majorHAnsi" w:cstheme="majorHAnsi"/>
        </w:rPr>
        <w:t xml:space="preserve"> </w:t>
      </w:r>
      <w:r w:rsidRPr="00651BB4">
        <w:rPr>
          <w:rFonts w:asciiTheme="majorHAnsi" w:hAnsiTheme="majorHAnsi" w:cstheme="majorHAnsi"/>
        </w:rPr>
        <w:t xml:space="preserve">; tel./fax 030 2279404 </w:t>
      </w:r>
      <w:hyperlink r:id="rId26" w:history="1">
        <w:r w:rsidR="008E3E62" w:rsidRPr="00A55996">
          <w:rPr>
            <w:rStyle w:val="Collegamentoipertestuale"/>
            <w:rFonts w:asciiTheme="majorHAnsi" w:hAnsiTheme="majorHAnsi" w:cstheme="majorHAnsi"/>
          </w:rPr>
          <w:t>www.tarbrescia.it</w:t>
        </w:r>
      </w:hyperlink>
      <w:r w:rsidR="008E3E62">
        <w:rPr>
          <w:rFonts w:asciiTheme="majorHAnsi" w:hAnsiTheme="majorHAnsi" w:cstheme="majorHAnsi"/>
        </w:rPr>
        <w:t xml:space="preserve"> </w:t>
      </w:r>
      <w:r w:rsidRPr="00651BB4">
        <w:rPr>
          <w:rFonts w:asciiTheme="majorHAnsi" w:hAnsiTheme="majorHAnsi" w:cstheme="majorHAnsi"/>
        </w:rPr>
        <w:t>.</w:t>
      </w:r>
      <w:r w:rsidR="008E3E62">
        <w:rPr>
          <w:rFonts w:asciiTheme="majorHAnsi" w:hAnsiTheme="majorHAnsi" w:cstheme="majorHAnsi"/>
        </w:rPr>
        <w:t xml:space="preserve"> </w:t>
      </w:r>
      <w:proofErr w:type="gramStart"/>
      <w:r w:rsidR="008E3E62">
        <w:rPr>
          <w:rFonts w:asciiTheme="majorHAnsi" w:hAnsiTheme="majorHAnsi" w:cstheme="majorHAnsi"/>
        </w:rPr>
        <w:t>E’</w:t>
      </w:r>
      <w:proofErr w:type="gramEnd"/>
      <w:r w:rsidRPr="00651BB4">
        <w:rPr>
          <w:rFonts w:asciiTheme="majorHAnsi" w:hAnsiTheme="majorHAnsi" w:cstheme="majorHAnsi"/>
        </w:rPr>
        <w:t xml:space="preserve"> esclusa la clausola arbitrale.</w:t>
      </w:r>
    </w:p>
    <w:p w14:paraId="0E632708" w14:textId="6ADA9E85" w:rsidR="00651BB4" w:rsidRPr="00651BB4" w:rsidRDefault="00651BB4" w:rsidP="00651BB4">
      <w:pPr>
        <w:jc w:val="both"/>
        <w:rPr>
          <w:rFonts w:asciiTheme="majorHAnsi" w:hAnsiTheme="majorHAnsi" w:cstheme="majorHAnsi"/>
        </w:rPr>
      </w:pPr>
      <w:r w:rsidRPr="00651BB4">
        <w:rPr>
          <w:rFonts w:asciiTheme="majorHAnsi" w:hAnsiTheme="majorHAnsi" w:cstheme="majorHAnsi"/>
        </w:rPr>
        <w:t xml:space="preserve">Per le controversie derivanti dal contratto è competente il Foro di </w:t>
      </w:r>
      <w:r w:rsidR="008E3E62">
        <w:rPr>
          <w:rFonts w:asciiTheme="majorHAnsi" w:hAnsiTheme="majorHAnsi" w:cstheme="majorHAnsi"/>
        </w:rPr>
        <w:t>Cremona</w:t>
      </w:r>
      <w:r w:rsidRPr="00651BB4">
        <w:rPr>
          <w:rFonts w:asciiTheme="majorHAnsi" w:hAnsiTheme="majorHAnsi" w:cstheme="majorHAnsi"/>
        </w:rPr>
        <w:t>, rimanendo espressamente esclusa la compromissione in arbitri.</w:t>
      </w:r>
    </w:p>
    <w:p w14:paraId="0CDD1056" w14:textId="77777777" w:rsidR="00651BB4" w:rsidRPr="00651BB4" w:rsidRDefault="00651BB4" w:rsidP="00651BB4">
      <w:pPr>
        <w:jc w:val="both"/>
        <w:rPr>
          <w:rFonts w:asciiTheme="majorHAnsi" w:hAnsiTheme="majorHAnsi" w:cstheme="majorHAnsi"/>
        </w:rPr>
      </w:pPr>
    </w:p>
    <w:p w14:paraId="17C87016" w14:textId="60004289" w:rsidR="00651BB4" w:rsidRPr="008E3E62" w:rsidRDefault="00651BB4" w:rsidP="00651BB4">
      <w:pPr>
        <w:jc w:val="both"/>
        <w:rPr>
          <w:rFonts w:asciiTheme="majorHAnsi" w:hAnsiTheme="majorHAnsi" w:cstheme="majorHAnsi"/>
          <w:b/>
          <w:bCs/>
        </w:rPr>
      </w:pPr>
      <w:r w:rsidRPr="008E3E62">
        <w:rPr>
          <w:rFonts w:asciiTheme="majorHAnsi" w:hAnsiTheme="majorHAnsi" w:cstheme="majorHAnsi"/>
          <w:b/>
          <w:bCs/>
        </w:rPr>
        <w:t>29</w:t>
      </w:r>
      <w:r w:rsidR="008E3E62">
        <w:rPr>
          <w:rFonts w:asciiTheme="majorHAnsi" w:hAnsiTheme="majorHAnsi" w:cstheme="majorHAnsi"/>
          <w:b/>
          <w:bCs/>
        </w:rPr>
        <w:t>.</w:t>
      </w:r>
      <w:r w:rsidRPr="008E3E62">
        <w:rPr>
          <w:rFonts w:asciiTheme="majorHAnsi" w:hAnsiTheme="majorHAnsi" w:cstheme="majorHAnsi"/>
          <w:b/>
          <w:bCs/>
        </w:rPr>
        <w:tab/>
        <w:t>TRATTAMENTO DEI DATI PERSONALI</w:t>
      </w:r>
    </w:p>
    <w:p w14:paraId="7F80C259" w14:textId="77777777" w:rsidR="00651BB4" w:rsidRDefault="00651BB4" w:rsidP="00651BB4">
      <w:pPr>
        <w:jc w:val="both"/>
        <w:rPr>
          <w:rFonts w:asciiTheme="majorHAnsi" w:hAnsiTheme="majorHAnsi" w:cstheme="majorHAnsi"/>
        </w:rPr>
      </w:pPr>
      <w:r w:rsidRPr="00651BB4">
        <w:rPr>
          <w:rFonts w:asciiTheme="majorHAnsi" w:hAnsiTheme="majorHAnsi" w:cstheme="majorHAnsi"/>
        </w:rPr>
        <w:lastRenderedPageBreak/>
        <w:t>Ai sensi dell’art. 13 del Regolamento UE n. 2016/679 (Regolamento Generale sulla Protezione dei dati Personali) relativo alla protezione delle persone fisiche con riguardo al trattamento dei dati personali, nonché alla libera circolazione di tali dati (nel seguito anche “Regolamento UE” o “GDPR”), la stazione appaltante fornisce le seguenti informazioni sul trattamento dei dati personali effettuato in fase di gara e per la stipula del contratto.</w:t>
      </w:r>
    </w:p>
    <w:p w14:paraId="3AB7B469" w14:textId="77777777" w:rsidR="008E3E62" w:rsidRPr="00651BB4" w:rsidRDefault="008E3E62" w:rsidP="00651BB4">
      <w:pPr>
        <w:jc w:val="both"/>
        <w:rPr>
          <w:rFonts w:asciiTheme="majorHAnsi" w:hAnsiTheme="majorHAnsi" w:cstheme="majorHAnsi"/>
        </w:rPr>
      </w:pPr>
    </w:p>
    <w:p w14:paraId="09ACBFAE" w14:textId="77777777" w:rsidR="00651BB4" w:rsidRPr="008E3E62" w:rsidRDefault="00651BB4" w:rsidP="00651BB4">
      <w:pPr>
        <w:jc w:val="both"/>
        <w:rPr>
          <w:rFonts w:asciiTheme="majorHAnsi" w:hAnsiTheme="majorHAnsi" w:cstheme="majorHAnsi"/>
          <w:u w:val="single"/>
        </w:rPr>
      </w:pPr>
      <w:r w:rsidRPr="008E3E62">
        <w:rPr>
          <w:rFonts w:asciiTheme="majorHAnsi" w:hAnsiTheme="majorHAnsi" w:cstheme="majorHAnsi"/>
          <w:u w:val="single"/>
        </w:rPr>
        <w:t>Finalità del trattamento</w:t>
      </w:r>
    </w:p>
    <w:p w14:paraId="434226B1" w14:textId="77777777" w:rsidR="00651BB4" w:rsidRPr="00651BB4" w:rsidRDefault="00651BB4" w:rsidP="008E3E62">
      <w:pPr>
        <w:ind w:left="705" w:hanging="705"/>
        <w:jc w:val="both"/>
        <w:rPr>
          <w:rFonts w:asciiTheme="majorHAnsi" w:hAnsiTheme="majorHAnsi" w:cstheme="majorHAnsi"/>
        </w:rPr>
      </w:pPr>
      <w:r w:rsidRPr="00651BB4">
        <w:rPr>
          <w:rFonts w:asciiTheme="majorHAnsi" w:hAnsiTheme="majorHAnsi" w:cstheme="majorHAnsi"/>
        </w:rPr>
        <w:t>-</w:t>
      </w:r>
      <w:r w:rsidRPr="00651BB4">
        <w:rPr>
          <w:rFonts w:asciiTheme="majorHAnsi" w:hAnsiTheme="majorHAnsi" w:cstheme="majorHAnsi"/>
        </w:rPr>
        <w:tab/>
        <w:t>I dati forniti dai concorrenti vengono raccolti e trattati per verificare la sussistenza dei requisiti richiesti dalla legge ai fini della partecipazione alla gara e, in particolare, ai fini della verifica delle capacità amministrative e tecnico-economiche di tali soggetti, nonché ai fini dell’aggiudicazione, in adempimento di precisi obblighi di legge derivanti dalla normativa in materia di appalti e contrattualistica pubblica;</w:t>
      </w:r>
    </w:p>
    <w:p w14:paraId="5BD31BC8" w14:textId="77777777" w:rsidR="00651BB4" w:rsidRPr="00651BB4" w:rsidRDefault="00651BB4" w:rsidP="008E3E62">
      <w:pPr>
        <w:ind w:left="705" w:hanging="705"/>
        <w:jc w:val="both"/>
        <w:rPr>
          <w:rFonts w:asciiTheme="majorHAnsi" w:hAnsiTheme="majorHAnsi" w:cstheme="majorHAnsi"/>
        </w:rPr>
      </w:pPr>
      <w:r w:rsidRPr="00651BB4">
        <w:rPr>
          <w:rFonts w:asciiTheme="majorHAnsi" w:hAnsiTheme="majorHAnsi" w:cstheme="majorHAnsi"/>
        </w:rPr>
        <w:t>-</w:t>
      </w:r>
      <w:r w:rsidRPr="00651BB4">
        <w:rPr>
          <w:rFonts w:asciiTheme="majorHAnsi" w:hAnsiTheme="majorHAnsi" w:cstheme="majorHAnsi"/>
        </w:rPr>
        <w:tab/>
        <w:t>i dati forniti dal/i concorrente/i aggiudicatario/i vengono acquisiti ai fini della stipula del Contratto, per l’adempimento degli obblighi legali ad esso connessi, oltre che per la gestione ed esecuzione economica ed amministrativa del contratto stesso;</w:t>
      </w:r>
    </w:p>
    <w:p w14:paraId="4CDDAC6F" w14:textId="77777777" w:rsidR="00651BB4" w:rsidRPr="00651BB4" w:rsidRDefault="00651BB4" w:rsidP="008E3E62">
      <w:pPr>
        <w:ind w:left="705" w:hanging="705"/>
        <w:jc w:val="both"/>
        <w:rPr>
          <w:rFonts w:asciiTheme="majorHAnsi" w:hAnsiTheme="majorHAnsi" w:cstheme="majorHAnsi"/>
        </w:rPr>
      </w:pPr>
      <w:r w:rsidRPr="00651BB4">
        <w:rPr>
          <w:rFonts w:asciiTheme="majorHAnsi" w:hAnsiTheme="majorHAnsi" w:cstheme="majorHAnsi"/>
        </w:rPr>
        <w:t>-</w:t>
      </w:r>
      <w:r w:rsidRPr="00651BB4">
        <w:rPr>
          <w:rFonts w:asciiTheme="majorHAnsi" w:hAnsiTheme="majorHAnsi" w:cstheme="majorHAnsi"/>
        </w:rPr>
        <w:tab/>
        <w:t>(in caso di Convenzioni e Accordi quadro) i dati forniti dal/i concorrente/i aggiudicatario/i acquisiti, saranno comunicati alle Amministrazioni che aderiscono alla Convenzione / Accordo Quadro per le finalità relative alla sottoscrizione ed all’esecuzione dei singoli contratti di fornitura e per i relativi adempimenti di legge;</w:t>
      </w:r>
    </w:p>
    <w:p w14:paraId="6F2D03ED" w14:textId="77777777" w:rsidR="00651BB4" w:rsidRPr="00651BB4" w:rsidRDefault="00651BB4" w:rsidP="008E3E62">
      <w:pPr>
        <w:ind w:left="705" w:hanging="705"/>
        <w:jc w:val="both"/>
        <w:rPr>
          <w:rFonts w:asciiTheme="majorHAnsi" w:hAnsiTheme="majorHAnsi" w:cstheme="majorHAnsi"/>
        </w:rPr>
      </w:pPr>
      <w:r w:rsidRPr="00651BB4">
        <w:rPr>
          <w:rFonts w:asciiTheme="majorHAnsi" w:hAnsiTheme="majorHAnsi" w:cstheme="majorHAnsi"/>
        </w:rPr>
        <w:t>-</w:t>
      </w:r>
      <w:r w:rsidRPr="00651BB4">
        <w:rPr>
          <w:rFonts w:asciiTheme="majorHAnsi" w:hAnsiTheme="majorHAnsi" w:cstheme="majorHAnsi"/>
        </w:rPr>
        <w:tab/>
        <w:t>tutti i dati acquisiti potranno essere trattati anche per fini di studio e statistici, nel rispetto della normativa vigente, per le finalità istituzionali in relazione al monitoraggio dei consumi ed al controllo della spesa, nonché per l’analisi degli ulteriori risparmi di spesa ottenibili.</w:t>
      </w:r>
    </w:p>
    <w:p w14:paraId="2CFC80A1" w14:textId="77777777" w:rsidR="00651BB4" w:rsidRPr="008E3E62" w:rsidRDefault="00651BB4" w:rsidP="00651BB4">
      <w:pPr>
        <w:jc w:val="both"/>
        <w:rPr>
          <w:rFonts w:asciiTheme="majorHAnsi" w:hAnsiTheme="majorHAnsi" w:cstheme="majorHAnsi"/>
          <w:u w:val="single"/>
        </w:rPr>
      </w:pPr>
      <w:r w:rsidRPr="008E3E62">
        <w:rPr>
          <w:rFonts w:asciiTheme="majorHAnsi" w:hAnsiTheme="majorHAnsi" w:cstheme="majorHAnsi"/>
          <w:u w:val="single"/>
        </w:rPr>
        <w:t>Base giuridica e natura del conferimento</w:t>
      </w:r>
    </w:p>
    <w:p w14:paraId="6DDF58C2"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Il Concorrente è tenuto a fornire i dati alla stazione appaltante in ragione degli obblighi legali derivanti dalla normativa in materia di appalti e contrattualistica pubblica. Il rifiuto di fornire i dati richiesti dalla stazione appaltante potrebbe determinare, a seconda dei casi, l’impossibilità di ammettere il concorrente alla partecipazione alla gara o la sua esclusione da questa o la decadenza dall'aggiudicazione, nonché l’impossibilità di stipulare il contratto.</w:t>
      </w:r>
    </w:p>
    <w:p w14:paraId="2C5CF421" w14:textId="77777777" w:rsidR="00651BB4" w:rsidRPr="008E3E62" w:rsidRDefault="00651BB4" w:rsidP="00651BB4">
      <w:pPr>
        <w:jc w:val="both"/>
        <w:rPr>
          <w:rFonts w:asciiTheme="majorHAnsi" w:hAnsiTheme="majorHAnsi" w:cstheme="majorHAnsi"/>
          <w:u w:val="single"/>
        </w:rPr>
      </w:pPr>
      <w:r w:rsidRPr="008E3E62">
        <w:rPr>
          <w:rFonts w:asciiTheme="majorHAnsi" w:hAnsiTheme="majorHAnsi" w:cstheme="majorHAnsi"/>
          <w:u w:val="single"/>
        </w:rPr>
        <w:t>Natura del conferimento</w:t>
      </w:r>
    </w:p>
    <w:p w14:paraId="10D1A425" w14:textId="3491036D" w:rsidR="00651BB4" w:rsidRPr="00651BB4" w:rsidRDefault="00651BB4" w:rsidP="00651BB4">
      <w:pPr>
        <w:jc w:val="both"/>
        <w:rPr>
          <w:rFonts w:asciiTheme="majorHAnsi" w:hAnsiTheme="majorHAnsi" w:cstheme="majorHAnsi"/>
        </w:rPr>
      </w:pPr>
      <w:r w:rsidRPr="00651BB4">
        <w:rPr>
          <w:rFonts w:asciiTheme="majorHAnsi" w:hAnsiTheme="majorHAnsi" w:cstheme="majorHAnsi"/>
        </w:rPr>
        <w:t xml:space="preserve"> I dati oggetto di trattamento per le finalità sopra specificate, sono della seguente natura: i) dati personali comuni (es. anagrafici e di contatto); ii) dati relativi a condanne penali e a reati (cd. “giudiziari”) di cui all’art. 10 Regolamento UE, limitatamente al solo scopo di valutare il possesso dei requisiti e delle qualità previsti dalla vigente normativa applicabile ai fini della partecipazione alla gara e dell’aggiudicazione. Non vengono, invece, richiesti i dati rientranti nelle “categorie particolari di dati personali” (cd. “sensibili”) di cui all’art. 9 Regolamento UE.</w:t>
      </w:r>
    </w:p>
    <w:p w14:paraId="5592E7BF" w14:textId="77777777" w:rsidR="00651BB4" w:rsidRPr="008E3E62" w:rsidRDefault="00651BB4" w:rsidP="00651BB4">
      <w:pPr>
        <w:jc w:val="both"/>
        <w:rPr>
          <w:rFonts w:asciiTheme="majorHAnsi" w:hAnsiTheme="majorHAnsi" w:cstheme="majorHAnsi"/>
          <w:u w:val="single"/>
        </w:rPr>
      </w:pPr>
      <w:r w:rsidRPr="008E3E62">
        <w:rPr>
          <w:rFonts w:asciiTheme="majorHAnsi" w:hAnsiTheme="majorHAnsi" w:cstheme="majorHAnsi"/>
          <w:u w:val="single"/>
        </w:rPr>
        <w:t>Modalità del trattamento dei dati</w:t>
      </w:r>
    </w:p>
    <w:p w14:paraId="7FD16F16"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Il trattamento dei dati verrà effettuato in modo da garantirne la sicurezza e la riservatezza necessarie e potrà essere attuato mediante strumenti manuali, cartacei, informatici e telematici idonei a trattare i dati nel rispetto delle misure di sicurezza previste dal Regolamento UE.</w:t>
      </w:r>
    </w:p>
    <w:p w14:paraId="209FA3FE" w14:textId="77777777" w:rsidR="00651BB4" w:rsidRPr="008E3E62" w:rsidRDefault="00651BB4" w:rsidP="00651BB4">
      <w:pPr>
        <w:jc w:val="both"/>
        <w:rPr>
          <w:rFonts w:asciiTheme="majorHAnsi" w:hAnsiTheme="majorHAnsi" w:cstheme="majorHAnsi"/>
          <w:u w:val="single"/>
        </w:rPr>
      </w:pPr>
      <w:r w:rsidRPr="008E3E62">
        <w:rPr>
          <w:rFonts w:asciiTheme="majorHAnsi" w:hAnsiTheme="majorHAnsi" w:cstheme="majorHAnsi"/>
          <w:u w:val="single"/>
        </w:rPr>
        <w:t>Ambito di comunicazione e di diffusione dei dati</w:t>
      </w:r>
    </w:p>
    <w:p w14:paraId="27630AA3"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I dati potranno essere:</w:t>
      </w:r>
    </w:p>
    <w:p w14:paraId="1D9BCE02" w14:textId="77777777" w:rsidR="00651BB4" w:rsidRPr="00651BB4" w:rsidRDefault="00651BB4" w:rsidP="00A1277F">
      <w:pPr>
        <w:ind w:left="705" w:hanging="705"/>
        <w:jc w:val="both"/>
        <w:rPr>
          <w:rFonts w:asciiTheme="majorHAnsi" w:hAnsiTheme="majorHAnsi" w:cstheme="majorHAnsi"/>
        </w:rPr>
      </w:pPr>
      <w:r w:rsidRPr="00651BB4">
        <w:rPr>
          <w:rFonts w:asciiTheme="majorHAnsi" w:hAnsiTheme="majorHAnsi" w:cstheme="majorHAnsi"/>
        </w:rPr>
        <w:t>-</w:t>
      </w:r>
      <w:r w:rsidRPr="00651BB4">
        <w:rPr>
          <w:rFonts w:asciiTheme="majorHAnsi" w:hAnsiTheme="majorHAnsi" w:cstheme="majorHAnsi"/>
        </w:rPr>
        <w:tab/>
        <w:t>trattati dal personale della stazione appaltante che cura il procedimento di gara o da quello in forza ad altri uffici della Stazione Appaltante/Amministrazione che svolgono attività ad esso attinente o attività per fini di studio e statistici;</w:t>
      </w:r>
    </w:p>
    <w:p w14:paraId="7D3ADE71" w14:textId="77777777" w:rsidR="00651BB4" w:rsidRPr="00651BB4" w:rsidRDefault="00651BB4" w:rsidP="00A1277F">
      <w:pPr>
        <w:ind w:left="705" w:hanging="705"/>
        <w:jc w:val="both"/>
        <w:rPr>
          <w:rFonts w:asciiTheme="majorHAnsi" w:hAnsiTheme="majorHAnsi" w:cstheme="majorHAnsi"/>
        </w:rPr>
      </w:pPr>
      <w:r w:rsidRPr="00651BB4">
        <w:rPr>
          <w:rFonts w:asciiTheme="majorHAnsi" w:hAnsiTheme="majorHAnsi" w:cstheme="majorHAnsi"/>
        </w:rPr>
        <w:lastRenderedPageBreak/>
        <w:t>-</w:t>
      </w:r>
      <w:r w:rsidRPr="00651BB4">
        <w:rPr>
          <w:rFonts w:asciiTheme="majorHAnsi" w:hAnsiTheme="majorHAnsi" w:cstheme="majorHAnsi"/>
        </w:rPr>
        <w:tab/>
        <w:t>comunicati a collaboratori autonomi, professionisti, consulenti, che prestino attività di consulenza od assistenza alla Stazione Appaltante/Amministrazione in ordine al procedimento di gara, anche per l'eventuale tutela in giudizio, o per studi di settore o fini statistici;</w:t>
      </w:r>
    </w:p>
    <w:p w14:paraId="56748C56" w14:textId="77777777" w:rsidR="00651BB4" w:rsidRPr="00651BB4" w:rsidRDefault="00651BB4" w:rsidP="00A1277F">
      <w:pPr>
        <w:ind w:left="705" w:hanging="705"/>
        <w:jc w:val="both"/>
        <w:rPr>
          <w:rFonts w:asciiTheme="majorHAnsi" w:hAnsiTheme="majorHAnsi" w:cstheme="majorHAnsi"/>
        </w:rPr>
      </w:pPr>
      <w:r w:rsidRPr="00651BB4">
        <w:rPr>
          <w:rFonts w:asciiTheme="majorHAnsi" w:hAnsiTheme="majorHAnsi" w:cstheme="majorHAnsi"/>
        </w:rPr>
        <w:t>-</w:t>
      </w:r>
      <w:r w:rsidRPr="00651BB4">
        <w:rPr>
          <w:rFonts w:asciiTheme="majorHAnsi" w:hAnsiTheme="majorHAnsi" w:cstheme="majorHAnsi"/>
        </w:rPr>
        <w:tab/>
        <w:t>comunicati ad eventuali soggetti esterni, facenti parte delle Commissioni giudicatrici e di collaudo che verranno di volta in volta costituite;</w:t>
      </w:r>
    </w:p>
    <w:p w14:paraId="50389FAD" w14:textId="77777777" w:rsidR="00651BB4" w:rsidRPr="00651BB4" w:rsidRDefault="00651BB4" w:rsidP="00A1277F">
      <w:pPr>
        <w:ind w:left="705" w:hanging="705"/>
        <w:jc w:val="both"/>
        <w:rPr>
          <w:rFonts w:asciiTheme="majorHAnsi" w:hAnsiTheme="majorHAnsi" w:cstheme="majorHAnsi"/>
        </w:rPr>
      </w:pPr>
      <w:r w:rsidRPr="00651BB4">
        <w:rPr>
          <w:rFonts w:asciiTheme="majorHAnsi" w:hAnsiTheme="majorHAnsi" w:cstheme="majorHAnsi"/>
        </w:rPr>
        <w:t>-</w:t>
      </w:r>
      <w:r w:rsidRPr="00651BB4">
        <w:rPr>
          <w:rFonts w:asciiTheme="majorHAnsi" w:hAnsiTheme="majorHAnsi" w:cstheme="majorHAnsi"/>
        </w:rPr>
        <w:tab/>
        <w:t>comunicati ad altri concorrenti che facciano richiesta di accesso ai documenti di gara nei limiti consentiti ai sensi della legge 7 agosto 1990, n. 241;</w:t>
      </w:r>
    </w:p>
    <w:p w14:paraId="275280EC" w14:textId="77777777" w:rsidR="00651BB4" w:rsidRPr="00651BB4" w:rsidRDefault="00651BB4" w:rsidP="00A1277F">
      <w:pPr>
        <w:ind w:left="705" w:hanging="705"/>
        <w:jc w:val="both"/>
        <w:rPr>
          <w:rFonts w:asciiTheme="majorHAnsi" w:hAnsiTheme="majorHAnsi" w:cstheme="majorHAnsi"/>
        </w:rPr>
      </w:pPr>
      <w:r w:rsidRPr="00651BB4">
        <w:rPr>
          <w:rFonts w:asciiTheme="majorHAnsi" w:hAnsiTheme="majorHAnsi" w:cstheme="majorHAnsi"/>
        </w:rPr>
        <w:t>-</w:t>
      </w:r>
      <w:r w:rsidRPr="00651BB4">
        <w:rPr>
          <w:rFonts w:asciiTheme="majorHAnsi" w:hAnsiTheme="majorHAnsi" w:cstheme="majorHAnsi"/>
        </w:rPr>
        <w:tab/>
        <w:t>comunicati all'Autorità Nazionale Anticorruzione, in osservanza a quanto previsto dalla Determinazione AVCP n. 1 del 10/01/2008, nonché - ricorrendone i presupposti – ad altri Soggetti/Enti pubblici (Procura, MEF</w:t>
      </w:r>
      <w:proofErr w:type="gramStart"/>
      <w:r w:rsidRPr="00651BB4">
        <w:rPr>
          <w:rFonts w:asciiTheme="majorHAnsi" w:hAnsiTheme="majorHAnsi" w:cstheme="majorHAnsi"/>
        </w:rPr>
        <w:t xml:space="preserve"> ..</w:t>
      </w:r>
      <w:proofErr w:type="gramEnd"/>
      <w:r w:rsidRPr="00651BB4">
        <w:rPr>
          <w:rFonts w:asciiTheme="majorHAnsi" w:hAnsiTheme="majorHAnsi" w:cstheme="majorHAnsi"/>
        </w:rPr>
        <w:t>).</w:t>
      </w:r>
    </w:p>
    <w:p w14:paraId="2328A5BE"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 xml:space="preserve">In adempimento agli obblighi di legge che impongono la trasparenza amministrativa, il concorrente/contraente prende atto ed acconsente a che i dati e la documentazione che la legge impone di pubblicare, siano pubblicati e diffusi, ricorrendone le condizioni, tramite il sito internet della Stazione Appaltante / Amministrazione aderente, sezione “Società Trasparente” nonché sui siti previsti dalla vigente normativa di settore. Oltre a quanto sopra, i dati inerenti </w:t>
      </w:r>
      <w:proofErr w:type="gramStart"/>
      <w:r w:rsidRPr="00651BB4">
        <w:rPr>
          <w:rFonts w:asciiTheme="majorHAnsi" w:hAnsiTheme="majorHAnsi" w:cstheme="majorHAnsi"/>
        </w:rPr>
        <w:t>la</w:t>
      </w:r>
      <w:proofErr w:type="gramEnd"/>
      <w:r w:rsidRPr="00651BB4">
        <w:rPr>
          <w:rFonts w:asciiTheme="majorHAnsi" w:hAnsiTheme="majorHAnsi" w:cstheme="majorHAnsi"/>
        </w:rPr>
        <w:t xml:space="preserve"> partecipazione del Concorrente all’iniziativa di gara, nei limiti e in applicazione dei principi e delle disposizioni in materia di dati pubblici e riutilizzo delle informazioni del settore pubblico (D. Lgs. 36/2006 e artt. 52 e 68, comma 3, del D.Lgs. 82/2005 e s.m.i.), potranno essere utilizzati, anche in forma aggregata, per essere messi a disposizione di altre Pubbliche Amministrazioni, persone fisiche e giuridiche, anche come dati di tipo aperto.</w:t>
      </w:r>
    </w:p>
    <w:p w14:paraId="696B32DA" w14:textId="77777777" w:rsidR="00651BB4" w:rsidRPr="00A1277F" w:rsidRDefault="00651BB4" w:rsidP="00651BB4">
      <w:pPr>
        <w:jc w:val="both"/>
        <w:rPr>
          <w:rFonts w:asciiTheme="majorHAnsi" w:hAnsiTheme="majorHAnsi" w:cstheme="majorHAnsi"/>
          <w:u w:val="single"/>
        </w:rPr>
      </w:pPr>
      <w:r w:rsidRPr="00A1277F">
        <w:rPr>
          <w:rFonts w:asciiTheme="majorHAnsi" w:hAnsiTheme="majorHAnsi" w:cstheme="majorHAnsi"/>
          <w:u w:val="single"/>
        </w:rPr>
        <w:t>Periodo di conservazione dei dati</w:t>
      </w:r>
    </w:p>
    <w:p w14:paraId="508AC450"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Il periodo di conservazione dei dati è di 10 anni dall'aggiudicazione per la stazione appaltante e dalla conclusione dell'esecuzione del contratto per la Committente. Inoltre, i dati potranno essere conservati, anche in forma aggregata, per fini di studio o statistici.</w:t>
      </w:r>
    </w:p>
    <w:p w14:paraId="769A1936" w14:textId="77777777" w:rsidR="00651BB4" w:rsidRPr="00A1277F" w:rsidRDefault="00651BB4" w:rsidP="00651BB4">
      <w:pPr>
        <w:jc w:val="both"/>
        <w:rPr>
          <w:rFonts w:asciiTheme="majorHAnsi" w:hAnsiTheme="majorHAnsi" w:cstheme="majorHAnsi"/>
          <w:u w:val="single"/>
        </w:rPr>
      </w:pPr>
      <w:r w:rsidRPr="00A1277F">
        <w:rPr>
          <w:rFonts w:asciiTheme="majorHAnsi" w:hAnsiTheme="majorHAnsi" w:cstheme="majorHAnsi"/>
          <w:u w:val="single"/>
        </w:rPr>
        <w:t>Processo decisionale automatizzato</w:t>
      </w:r>
    </w:p>
    <w:p w14:paraId="10C618E4"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Non è presente alcun processo decisionale automatizzato</w:t>
      </w:r>
    </w:p>
    <w:p w14:paraId="1AB5A870" w14:textId="77777777" w:rsidR="00651BB4" w:rsidRPr="00A1277F" w:rsidRDefault="00651BB4" w:rsidP="00651BB4">
      <w:pPr>
        <w:jc w:val="both"/>
        <w:rPr>
          <w:rFonts w:asciiTheme="majorHAnsi" w:hAnsiTheme="majorHAnsi" w:cstheme="majorHAnsi"/>
          <w:u w:val="single"/>
        </w:rPr>
      </w:pPr>
      <w:r w:rsidRPr="00A1277F">
        <w:rPr>
          <w:rFonts w:asciiTheme="majorHAnsi" w:hAnsiTheme="majorHAnsi" w:cstheme="majorHAnsi"/>
          <w:u w:val="single"/>
        </w:rPr>
        <w:t>Diritti dell'interessato</w:t>
      </w:r>
    </w:p>
    <w:p w14:paraId="460BA0B6"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Per “interessato” si intende qualsiasi persona fisica i cui dati sono trasferiti dal concorrente alla stazione appaltante.</w:t>
      </w:r>
    </w:p>
    <w:p w14:paraId="02D8FDAE" w14:textId="50992702" w:rsidR="00651BB4" w:rsidRPr="00651BB4" w:rsidRDefault="00651BB4" w:rsidP="00651BB4">
      <w:pPr>
        <w:jc w:val="both"/>
        <w:rPr>
          <w:rFonts w:asciiTheme="majorHAnsi" w:hAnsiTheme="majorHAnsi" w:cstheme="majorHAnsi"/>
        </w:rPr>
      </w:pPr>
      <w:r w:rsidRPr="00651BB4">
        <w:rPr>
          <w:rFonts w:asciiTheme="majorHAnsi" w:hAnsiTheme="majorHAnsi" w:cstheme="majorHAnsi"/>
        </w:rPr>
        <w:t>All'interessato vengono riconosciuti i diritti di cui agli artt. 15 e ss. del Regolamento UE. In particolare, l’interessato ha il diritto di: i) ottenere, in qualunque momento la conferma che sia o meno in corso un trattamento di dati personali che lo riguardano; ii) il diritto di accesso ai propri dati personali per conoscere: la finalità del trattamento, la categoria di dati trattati, i destinatari o le categorie di destinatari</w:t>
      </w:r>
      <w:r w:rsidR="00A1277F">
        <w:rPr>
          <w:rFonts w:asciiTheme="majorHAnsi" w:hAnsiTheme="majorHAnsi" w:cstheme="majorHAnsi"/>
        </w:rPr>
        <w:t xml:space="preserve"> </w:t>
      </w:r>
      <w:r w:rsidRPr="00651BB4">
        <w:rPr>
          <w:rFonts w:asciiTheme="majorHAnsi" w:hAnsiTheme="majorHAnsi" w:cstheme="majorHAnsi"/>
        </w:rPr>
        <w:t>cui i dati sono o saranno comunicati, il periodo di conservazione degli stessi o i criteri utilizzati per determinare tale periodo; iii) il diritto di chiedere, e nel caso ottenere, la rettifica e, ove possibile, la cancellazione o, ancora, la limitazione del trattamento e, infine, può opporsi, per motivi legittimi, al loro trattamento; iv) il diritto alla portabilità dei dati che sarà applicabile nei limiti di cui all’art. 20 del Regolamento UE.</w:t>
      </w:r>
    </w:p>
    <w:p w14:paraId="5988A293"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t>Se in caso di esercizio del diritto di accesso e dei diritti connessi, la risposta all'istanza non perviene nei termini di legge e/o non è soddisfacente, l'interessato potrà far valere i propri diritti innanzi all'autorità giudiziaria o rivolgendosi al Garante per la protezione dei dati personali mediante apposito reclamo, ricorso o segnalazione.</w:t>
      </w:r>
    </w:p>
    <w:p w14:paraId="69D1BB3E" w14:textId="77777777" w:rsidR="00651BB4" w:rsidRPr="00A1277F" w:rsidRDefault="00651BB4" w:rsidP="00651BB4">
      <w:pPr>
        <w:jc w:val="both"/>
        <w:rPr>
          <w:rFonts w:asciiTheme="majorHAnsi" w:hAnsiTheme="majorHAnsi" w:cstheme="majorHAnsi"/>
          <w:u w:val="single"/>
        </w:rPr>
      </w:pPr>
      <w:r w:rsidRPr="00A1277F">
        <w:rPr>
          <w:rFonts w:asciiTheme="majorHAnsi" w:hAnsiTheme="majorHAnsi" w:cstheme="majorHAnsi"/>
          <w:u w:val="single"/>
        </w:rPr>
        <w:t>Titolare del trattamento</w:t>
      </w:r>
    </w:p>
    <w:p w14:paraId="2E092233" w14:textId="77777777" w:rsidR="00651BB4" w:rsidRPr="00651BB4" w:rsidRDefault="00651BB4" w:rsidP="00651BB4">
      <w:pPr>
        <w:jc w:val="both"/>
        <w:rPr>
          <w:rFonts w:asciiTheme="majorHAnsi" w:hAnsiTheme="majorHAnsi" w:cstheme="majorHAnsi"/>
        </w:rPr>
      </w:pPr>
      <w:r w:rsidRPr="00651BB4">
        <w:rPr>
          <w:rFonts w:asciiTheme="majorHAnsi" w:hAnsiTheme="majorHAnsi" w:cstheme="majorHAnsi"/>
        </w:rPr>
        <w:lastRenderedPageBreak/>
        <w:t>Ai fini dell’esercizio dei diritti di cui agli artt. da 15 a 22 del Regolamento UE è possibile chiedere l’indicazione del Titolare del trattamento nonché dei Responsabili del trattamento inviando specifica richiesta all’indirizzo pec della Stazione Appaltante/Amministrazione.</w:t>
      </w:r>
    </w:p>
    <w:p w14:paraId="2F71CEDA" w14:textId="77777777" w:rsidR="00651BB4" w:rsidRPr="003F448D" w:rsidRDefault="00651BB4" w:rsidP="00651BB4">
      <w:pPr>
        <w:jc w:val="both"/>
        <w:rPr>
          <w:rFonts w:asciiTheme="majorHAnsi" w:hAnsiTheme="majorHAnsi" w:cstheme="majorHAnsi"/>
          <w:u w:val="single"/>
        </w:rPr>
      </w:pPr>
      <w:r w:rsidRPr="003F448D">
        <w:rPr>
          <w:rFonts w:asciiTheme="majorHAnsi" w:hAnsiTheme="majorHAnsi" w:cstheme="majorHAnsi"/>
          <w:u w:val="single"/>
        </w:rPr>
        <w:t>Consenso del concorrente/interessato</w:t>
      </w:r>
    </w:p>
    <w:p w14:paraId="3C19503F" w14:textId="77777777" w:rsidR="00651BB4" w:rsidRPr="00651BB4" w:rsidRDefault="00651BB4" w:rsidP="003F448D">
      <w:pPr>
        <w:ind w:left="705" w:hanging="705"/>
        <w:jc w:val="both"/>
        <w:rPr>
          <w:rFonts w:asciiTheme="majorHAnsi" w:hAnsiTheme="majorHAnsi" w:cstheme="majorHAnsi"/>
        </w:rPr>
      </w:pPr>
      <w:r w:rsidRPr="00651BB4">
        <w:rPr>
          <w:rFonts w:asciiTheme="majorHAnsi" w:hAnsiTheme="majorHAnsi" w:cstheme="majorHAnsi"/>
        </w:rPr>
        <w:t>•</w:t>
      </w:r>
      <w:r w:rsidRPr="00651BB4">
        <w:rPr>
          <w:rFonts w:asciiTheme="majorHAnsi" w:hAnsiTheme="majorHAnsi" w:cstheme="majorHAnsi"/>
        </w:rPr>
        <w:tab/>
        <w:t>Acquisite le sopra riportate informazioni, con la presentazione dell’offerta e/o la sottoscrizione del Contratto, il concorrente/aggiudicatario prende atto ed acconsente espressamente al trattamento dei dati personali come sopra definito.</w:t>
      </w:r>
    </w:p>
    <w:p w14:paraId="53EE184C" w14:textId="58632A71" w:rsidR="00651BB4" w:rsidRDefault="00651BB4" w:rsidP="003F448D">
      <w:pPr>
        <w:ind w:left="705" w:hanging="705"/>
        <w:jc w:val="both"/>
        <w:rPr>
          <w:rFonts w:asciiTheme="majorHAnsi" w:hAnsiTheme="majorHAnsi" w:cstheme="majorHAnsi"/>
        </w:rPr>
      </w:pPr>
      <w:r w:rsidRPr="00651BB4">
        <w:rPr>
          <w:rFonts w:asciiTheme="majorHAnsi" w:hAnsiTheme="majorHAnsi" w:cstheme="majorHAnsi"/>
        </w:rPr>
        <w:t>•</w:t>
      </w:r>
      <w:r w:rsidRPr="00651BB4">
        <w:rPr>
          <w:rFonts w:asciiTheme="majorHAnsi" w:hAnsiTheme="majorHAnsi" w:cstheme="majorHAnsi"/>
        </w:rPr>
        <w:tab/>
        <w:t>Il concorrente si impegna ad adempiere agli obblighi di informativa e di consenso, ove necessario, nei confronti delle persone fisiche interessate di cui sono forniti dati personali nell'ambito della procedura di affidamento, per quanto concerne il trattamento dei loro Dati</w:t>
      </w:r>
      <w:r w:rsidR="003F448D">
        <w:rPr>
          <w:rFonts w:asciiTheme="majorHAnsi" w:hAnsiTheme="majorHAnsi" w:cstheme="majorHAnsi"/>
        </w:rPr>
        <w:t xml:space="preserve"> </w:t>
      </w:r>
      <w:r w:rsidRPr="00651BB4">
        <w:rPr>
          <w:rFonts w:asciiTheme="majorHAnsi" w:hAnsiTheme="majorHAnsi" w:cstheme="majorHAnsi"/>
        </w:rPr>
        <w:t>personali da parte della Stazione Appaltante/Amministrazione per le finalità sopra descritte.</w:t>
      </w:r>
    </w:p>
    <w:p w14:paraId="17E9B7DD" w14:textId="77777777" w:rsidR="00325798" w:rsidRDefault="00325798" w:rsidP="003F448D">
      <w:pPr>
        <w:ind w:left="705" w:hanging="705"/>
        <w:jc w:val="both"/>
        <w:rPr>
          <w:rFonts w:asciiTheme="majorHAnsi" w:hAnsiTheme="majorHAnsi" w:cstheme="majorHAnsi"/>
        </w:rPr>
      </w:pPr>
    </w:p>
    <w:p w14:paraId="2702BD63" w14:textId="77777777" w:rsidR="00325798" w:rsidRDefault="00325798" w:rsidP="003F448D">
      <w:pPr>
        <w:ind w:left="705" w:hanging="705"/>
        <w:jc w:val="both"/>
        <w:rPr>
          <w:rFonts w:asciiTheme="majorHAnsi" w:hAnsiTheme="majorHAnsi" w:cstheme="majorHAnsi"/>
        </w:rPr>
      </w:pPr>
    </w:p>
    <w:p w14:paraId="5E9FF050" w14:textId="77777777" w:rsidR="00325798" w:rsidRPr="00325798" w:rsidRDefault="00325798" w:rsidP="00325798">
      <w:pPr>
        <w:ind w:left="5245"/>
        <w:jc w:val="center"/>
        <w:rPr>
          <w:rFonts w:ascii="Arial" w:hAnsi="Arial" w:cs="Arial"/>
        </w:rPr>
      </w:pPr>
      <w:r w:rsidRPr="00325798">
        <w:rPr>
          <w:rFonts w:ascii="Arial" w:hAnsi="Arial" w:cs="Arial"/>
        </w:rPr>
        <w:t>Il RUP</w:t>
      </w:r>
    </w:p>
    <w:p w14:paraId="38D322DA" w14:textId="20F98117" w:rsidR="00325798" w:rsidRPr="00DB09C5" w:rsidRDefault="00325798" w:rsidP="00325798">
      <w:pPr>
        <w:ind w:left="6096"/>
        <w:rPr>
          <w:rFonts w:ascii="Arial" w:hAnsi="Arial" w:cs="Arial"/>
        </w:rPr>
      </w:pPr>
      <w:r w:rsidRPr="00325798">
        <w:rPr>
          <w:rFonts w:ascii="Arial" w:hAnsi="Arial" w:cs="Arial"/>
        </w:rPr>
        <w:t>Dott.ssa Chiara Sanfelici</w:t>
      </w:r>
    </w:p>
    <w:p w14:paraId="38E6B3E4" w14:textId="77777777" w:rsidR="00325798" w:rsidRDefault="00325798" w:rsidP="003F448D">
      <w:pPr>
        <w:ind w:left="705" w:hanging="705"/>
        <w:jc w:val="both"/>
        <w:rPr>
          <w:rFonts w:asciiTheme="majorHAnsi" w:hAnsiTheme="majorHAnsi" w:cstheme="majorHAnsi"/>
        </w:rPr>
      </w:pPr>
    </w:p>
    <w:sectPr w:rsidR="00325798" w:rsidSect="009D7E6E">
      <w:headerReference w:type="default" r:id="rId27"/>
      <w:footerReference w:type="default" r:id="rId28"/>
      <w:pgSz w:w="11900" w:h="16840"/>
      <w:pgMar w:top="2240" w:right="1388" w:bottom="1440" w:left="1440" w:header="142" w:footer="15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23154" w14:textId="77777777" w:rsidR="005E09C2" w:rsidRDefault="005E09C2">
      <w:r>
        <w:separator/>
      </w:r>
    </w:p>
  </w:endnote>
  <w:endnote w:type="continuationSeparator" w:id="0">
    <w:p w14:paraId="711A7D8B" w14:textId="77777777" w:rsidR="005E09C2" w:rsidRDefault="005E0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New Aster LT Std">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Garamond">
    <w:panose1 w:val="02020404030301010803"/>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Lucida Grande">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14AC" w14:textId="1D673066" w:rsidR="00DB4C1D" w:rsidRDefault="007122D3">
    <w:pPr>
      <w:pStyle w:val="Pidipagina"/>
    </w:pPr>
    <w:r>
      <w:rPr>
        <w:noProof/>
      </w:rPr>
      <w:drawing>
        <wp:anchor distT="0" distB="0" distL="114300" distR="114300" simplePos="0" relativeHeight="251658240" behindDoc="0" locked="0" layoutInCell="1" allowOverlap="1" wp14:anchorId="5C7A9FB0" wp14:editId="6AF4057B">
          <wp:simplePos x="0" y="0"/>
          <wp:positionH relativeFrom="margin">
            <wp:posOffset>-31750</wp:posOffset>
          </wp:positionH>
          <wp:positionV relativeFrom="paragraph">
            <wp:posOffset>230505</wp:posOffset>
          </wp:positionV>
          <wp:extent cx="5894070" cy="388620"/>
          <wp:effectExtent l="0" t="0" r="0" b="0"/>
          <wp:wrapTopAndBottom/>
          <wp:docPr id="212433013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4070" cy="38862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16CA5" w14:textId="77777777" w:rsidR="005E09C2" w:rsidRDefault="005E09C2">
      <w:r>
        <w:separator/>
      </w:r>
    </w:p>
  </w:footnote>
  <w:footnote w:type="continuationSeparator" w:id="0">
    <w:p w14:paraId="529261CC" w14:textId="77777777" w:rsidR="005E09C2" w:rsidRDefault="005E0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A23AB" w14:textId="77777777" w:rsidR="00DB4C1D" w:rsidRDefault="00DB4C1D">
    <w:pPr>
      <w:pStyle w:val="Intestazione"/>
    </w:pPr>
  </w:p>
  <w:p w14:paraId="2D27335C" w14:textId="20FF7458" w:rsidR="00DB4C1D" w:rsidRDefault="007122D3">
    <w:r>
      <w:rPr>
        <w:noProof/>
      </w:rPr>
      <w:drawing>
        <wp:inline distT="0" distB="0" distL="0" distR="0" wp14:anchorId="391B21DC" wp14:editId="4BDE0F58">
          <wp:extent cx="2566670" cy="865505"/>
          <wp:effectExtent l="0" t="0" r="5080" b="0"/>
          <wp:docPr id="180111189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B5B"/>
    <w:multiLevelType w:val="hybridMultilevel"/>
    <w:tmpl w:val="DDB634C4"/>
    <w:lvl w:ilvl="0" w:tplc="1556CE66">
      <w:numFmt w:val="bullet"/>
      <w:lvlText w:val="-"/>
      <w:lvlJc w:val="left"/>
      <w:pPr>
        <w:ind w:left="1776" w:hanging="360"/>
      </w:pPr>
      <w:rPr>
        <w:rFonts w:ascii="Times New Roman" w:eastAsia="Times New Roman" w:hAnsi="Times New Roman" w:cs="Times New Roman" w:hint="default"/>
        <w:b w:val="0"/>
        <w:bCs w:val="0"/>
        <w:i w:val="0"/>
        <w:iCs w:val="0"/>
        <w:spacing w:val="0"/>
        <w:w w:val="99"/>
        <w:sz w:val="24"/>
        <w:szCs w:val="24"/>
        <w:lang w:val="it-IT" w:eastAsia="en-US" w:bidi="ar-SA"/>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 w15:restartNumberingAfterBreak="0">
    <w:nsid w:val="04C82419"/>
    <w:multiLevelType w:val="hybridMultilevel"/>
    <w:tmpl w:val="13A6269A"/>
    <w:lvl w:ilvl="0" w:tplc="04100011">
      <w:start w:val="1"/>
      <w:numFmt w:val="decimal"/>
      <w:lvlText w:val="%1)"/>
      <w:lvlJc w:val="left"/>
      <w:pPr>
        <w:ind w:left="720" w:hanging="360"/>
      </w:pPr>
    </w:lvl>
    <w:lvl w:ilvl="1" w:tplc="04100011">
      <w:start w:val="1"/>
      <w:numFmt w:val="decimal"/>
      <w:lvlText w:val="%2)"/>
      <w:lvlJc w:val="left"/>
      <w:pPr>
        <w:ind w:left="72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2C7346"/>
    <w:multiLevelType w:val="hybridMultilevel"/>
    <w:tmpl w:val="1602CD66"/>
    <w:lvl w:ilvl="0" w:tplc="1556CE66">
      <w:numFmt w:val="bullet"/>
      <w:lvlText w:val="-"/>
      <w:lvlJc w:val="left"/>
      <w:pPr>
        <w:ind w:left="1428" w:hanging="360"/>
      </w:pPr>
      <w:rPr>
        <w:rFonts w:ascii="Times New Roman" w:eastAsia="Times New Roman" w:hAnsi="Times New Roman" w:cs="Times New Roman" w:hint="default"/>
        <w:b w:val="0"/>
        <w:bCs w:val="0"/>
        <w:i w:val="0"/>
        <w:iCs w:val="0"/>
        <w:spacing w:val="0"/>
        <w:w w:val="99"/>
        <w:sz w:val="24"/>
        <w:szCs w:val="24"/>
        <w:lang w:val="it-IT" w:eastAsia="en-US" w:bidi="ar-SA"/>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15:restartNumberingAfterBreak="1">
    <w:nsid w:val="070E4946"/>
    <w:multiLevelType w:val="hybridMultilevel"/>
    <w:tmpl w:val="8F74D848"/>
    <w:lvl w:ilvl="0" w:tplc="4E5A50F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7447E22"/>
    <w:multiLevelType w:val="hybridMultilevel"/>
    <w:tmpl w:val="9D1A66F6"/>
    <w:lvl w:ilvl="0" w:tplc="0410000F">
      <w:start w:val="1"/>
      <w:numFmt w:val="decimal"/>
      <w:lvlText w:val="%1."/>
      <w:lvlJc w:val="left"/>
      <w:pPr>
        <w:ind w:left="720" w:hanging="360"/>
      </w:pPr>
    </w:lvl>
    <w:lvl w:ilvl="1" w:tplc="5D503BDE">
      <w:start w:val="1"/>
      <w:numFmt w:val="decimal"/>
      <w:lvlText w:val="%2)"/>
      <w:lvlJc w:val="left"/>
      <w:pPr>
        <w:ind w:left="1785" w:hanging="705"/>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7795943"/>
    <w:multiLevelType w:val="hybridMultilevel"/>
    <w:tmpl w:val="2BAE2DD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B5F6F27"/>
    <w:multiLevelType w:val="hybridMultilevel"/>
    <w:tmpl w:val="D2A487F8"/>
    <w:lvl w:ilvl="0" w:tplc="1C008E4A">
      <w:numFmt w:val="bullet"/>
      <w:lvlText w:val="□"/>
      <w:lvlJc w:val="left"/>
      <w:pPr>
        <w:ind w:left="1440" w:hanging="360"/>
      </w:pPr>
      <w:rPr>
        <w:rFonts w:ascii="Lucida Sans Unicode" w:eastAsia="Lucida Sans Unicode" w:hAnsi="Lucida Sans Unicode" w:cs="Lucida Sans Unicode" w:hint="default"/>
        <w:b w:val="0"/>
        <w:bCs w:val="0"/>
        <w:i w:val="0"/>
        <w:iCs w:val="0"/>
        <w:color w:val="221F1F"/>
        <w:spacing w:val="0"/>
        <w:w w:val="75"/>
        <w:sz w:val="24"/>
        <w:szCs w:val="24"/>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0D790779"/>
    <w:multiLevelType w:val="hybridMultilevel"/>
    <w:tmpl w:val="A0E86B88"/>
    <w:lvl w:ilvl="0" w:tplc="1556CE66">
      <w:numFmt w:val="bullet"/>
      <w:lvlText w:val="-"/>
      <w:lvlJc w:val="left"/>
      <w:pPr>
        <w:ind w:left="1559" w:hanging="360"/>
      </w:pPr>
      <w:rPr>
        <w:rFonts w:ascii="Times New Roman" w:eastAsia="Times New Roman" w:hAnsi="Times New Roman" w:cs="Times New Roman" w:hint="default"/>
        <w:b w:val="0"/>
        <w:bCs w:val="0"/>
        <w:i w:val="0"/>
        <w:iCs w:val="0"/>
        <w:spacing w:val="0"/>
        <w:w w:val="99"/>
        <w:sz w:val="24"/>
        <w:szCs w:val="24"/>
        <w:lang w:val="it-IT" w:eastAsia="en-US" w:bidi="ar-SA"/>
      </w:rPr>
    </w:lvl>
    <w:lvl w:ilvl="1" w:tplc="04100003" w:tentative="1">
      <w:start w:val="1"/>
      <w:numFmt w:val="bullet"/>
      <w:lvlText w:val="o"/>
      <w:lvlJc w:val="left"/>
      <w:pPr>
        <w:ind w:left="2279" w:hanging="360"/>
      </w:pPr>
      <w:rPr>
        <w:rFonts w:ascii="Courier New" w:hAnsi="Courier New" w:cs="Courier New" w:hint="default"/>
      </w:rPr>
    </w:lvl>
    <w:lvl w:ilvl="2" w:tplc="04100005" w:tentative="1">
      <w:start w:val="1"/>
      <w:numFmt w:val="bullet"/>
      <w:lvlText w:val=""/>
      <w:lvlJc w:val="left"/>
      <w:pPr>
        <w:ind w:left="2999" w:hanging="360"/>
      </w:pPr>
      <w:rPr>
        <w:rFonts w:ascii="Wingdings" w:hAnsi="Wingdings" w:hint="default"/>
      </w:rPr>
    </w:lvl>
    <w:lvl w:ilvl="3" w:tplc="04100001" w:tentative="1">
      <w:start w:val="1"/>
      <w:numFmt w:val="bullet"/>
      <w:lvlText w:val=""/>
      <w:lvlJc w:val="left"/>
      <w:pPr>
        <w:ind w:left="3719" w:hanging="360"/>
      </w:pPr>
      <w:rPr>
        <w:rFonts w:ascii="Symbol" w:hAnsi="Symbol" w:hint="default"/>
      </w:rPr>
    </w:lvl>
    <w:lvl w:ilvl="4" w:tplc="04100003" w:tentative="1">
      <w:start w:val="1"/>
      <w:numFmt w:val="bullet"/>
      <w:lvlText w:val="o"/>
      <w:lvlJc w:val="left"/>
      <w:pPr>
        <w:ind w:left="4439" w:hanging="360"/>
      </w:pPr>
      <w:rPr>
        <w:rFonts w:ascii="Courier New" w:hAnsi="Courier New" w:cs="Courier New" w:hint="default"/>
      </w:rPr>
    </w:lvl>
    <w:lvl w:ilvl="5" w:tplc="04100005" w:tentative="1">
      <w:start w:val="1"/>
      <w:numFmt w:val="bullet"/>
      <w:lvlText w:val=""/>
      <w:lvlJc w:val="left"/>
      <w:pPr>
        <w:ind w:left="5159" w:hanging="360"/>
      </w:pPr>
      <w:rPr>
        <w:rFonts w:ascii="Wingdings" w:hAnsi="Wingdings" w:hint="default"/>
      </w:rPr>
    </w:lvl>
    <w:lvl w:ilvl="6" w:tplc="04100001" w:tentative="1">
      <w:start w:val="1"/>
      <w:numFmt w:val="bullet"/>
      <w:lvlText w:val=""/>
      <w:lvlJc w:val="left"/>
      <w:pPr>
        <w:ind w:left="5879" w:hanging="360"/>
      </w:pPr>
      <w:rPr>
        <w:rFonts w:ascii="Symbol" w:hAnsi="Symbol" w:hint="default"/>
      </w:rPr>
    </w:lvl>
    <w:lvl w:ilvl="7" w:tplc="04100003" w:tentative="1">
      <w:start w:val="1"/>
      <w:numFmt w:val="bullet"/>
      <w:lvlText w:val="o"/>
      <w:lvlJc w:val="left"/>
      <w:pPr>
        <w:ind w:left="6599" w:hanging="360"/>
      </w:pPr>
      <w:rPr>
        <w:rFonts w:ascii="Courier New" w:hAnsi="Courier New" w:cs="Courier New" w:hint="default"/>
      </w:rPr>
    </w:lvl>
    <w:lvl w:ilvl="8" w:tplc="04100005" w:tentative="1">
      <w:start w:val="1"/>
      <w:numFmt w:val="bullet"/>
      <w:lvlText w:val=""/>
      <w:lvlJc w:val="left"/>
      <w:pPr>
        <w:ind w:left="7319" w:hanging="360"/>
      </w:pPr>
      <w:rPr>
        <w:rFonts w:ascii="Wingdings" w:hAnsi="Wingdings" w:hint="default"/>
      </w:rPr>
    </w:lvl>
  </w:abstractNum>
  <w:abstractNum w:abstractNumId="8" w15:restartNumberingAfterBreak="0">
    <w:nsid w:val="0F23650C"/>
    <w:multiLevelType w:val="hybridMultilevel"/>
    <w:tmpl w:val="7792B0D4"/>
    <w:lvl w:ilvl="0" w:tplc="04100019">
      <w:start w:val="1"/>
      <w:numFmt w:val="lowerLetter"/>
      <w:lvlText w:val="%1."/>
      <w:lvlJc w:val="left"/>
      <w:pPr>
        <w:ind w:left="1201" w:hanging="360"/>
      </w:pPr>
    </w:lvl>
    <w:lvl w:ilvl="1" w:tplc="04100019" w:tentative="1">
      <w:start w:val="1"/>
      <w:numFmt w:val="lowerLetter"/>
      <w:lvlText w:val="%2."/>
      <w:lvlJc w:val="left"/>
      <w:pPr>
        <w:ind w:left="1921" w:hanging="360"/>
      </w:pPr>
    </w:lvl>
    <w:lvl w:ilvl="2" w:tplc="0410001B" w:tentative="1">
      <w:start w:val="1"/>
      <w:numFmt w:val="lowerRoman"/>
      <w:lvlText w:val="%3."/>
      <w:lvlJc w:val="right"/>
      <w:pPr>
        <w:ind w:left="2641" w:hanging="180"/>
      </w:pPr>
    </w:lvl>
    <w:lvl w:ilvl="3" w:tplc="0410000F" w:tentative="1">
      <w:start w:val="1"/>
      <w:numFmt w:val="decimal"/>
      <w:lvlText w:val="%4."/>
      <w:lvlJc w:val="left"/>
      <w:pPr>
        <w:ind w:left="3361" w:hanging="360"/>
      </w:pPr>
    </w:lvl>
    <w:lvl w:ilvl="4" w:tplc="04100019" w:tentative="1">
      <w:start w:val="1"/>
      <w:numFmt w:val="lowerLetter"/>
      <w:lvlText w:val="%5."/>
      <w:lvlJc w:val="left"/>
      <w:pPr>
        <w:ind w:left="4081" w:hanging="360"/>
      </w:pPr>
    </w:lvl>
    <w:lvl w:ilvl="5" w:tplc="0410001B" w:tentative="1">
      <w:start w:val="1"/>
      <w:numFmt w:val="lowerRoman"/>
      <w:lvlText w:val="%6."/>
      <w:lvlJc w:val="right"/>
      <w:pPr>
        <w:ind w:left="4801" w:hanging="180"/>
      </w:pPr>
    </w:lvl>
    <w:lvl w:ilvl="6" w:tplc="0410000F" w:tentative="1">
      <w:start w:val="1"/>
      <w:numFmt w:val="decimal"/>
      <w:lvlText w:val="%7."/>
      <w:lvlJc w:val="left"/>
      <w:pPr>
        <w:ind w:left="5521" w:hanging="360"/>
      </w:pPr>
    </w:lvl>
    <w:lvl w:ilvl="7" w:tplc="04100019" w:tentative="1">
      <w:start w:val="1"/>
      <w:numFmt w:val="lowerLetter"/>
      <w:lvlText w:val="%8."/>
      <w:lvlJc w:val="left"/>
      <w:pPr>
        <w:ind w:left="6241" w:hanging="360"/>
      </w:pPr>
    </w:lvl>
    <w:lvl w:ilvl="8" w:tplc="0410001B" w:tentative="1">
      <w:start w:val="1"/>
      <w:numFmt w:val="lowerRoman"/>
      <w:lvlText w:val="%9."/>
      <w:lvlJc w:val="right"/>
      <w:pPr>
        <w:ind w:left="6961" w:hanging="180"/>
      </w:pPr>
    </w:lvl>
  </w:abstractNum>
  <w:abstractNum w:abstractNumId="9" w15:restartNumberingAfterBreak="0">
    <w:nsid w:val="0FBA0AE4"/>
    <w:multiLevelType w:val="hybridMultilevel"/>
    <w:tmpl w:val="E07C8966"/>
    <w:lvl w:ilvl="0" w:tplc="1C008E4A">
      <w:numFmt w:val="bullet"/>
      <w:lvlText w:val="□"/>
      <w:lvlJc w:val="left"/>
      <w:pPr>
        <w:ind w:left="720" w:hanging="360"/>
      </w:pPr>
      <w:rPr>
        <w:rFonts w:ascii="Lucida Sans Unicode" w:eastAsia="Lucida Sans Unicode" w:hAnsi="Lucida Sans Unicode" w:cs="Lucida Sans Unicode" w:hint="default"/>
        <w:b w:val="0"/>
        <w:bCs w:val="0"/>
        <w:i w:val="0"/>
        <w:iCs w:val="0"/>
        <w:color w:val="221F1F"/>
        <w:spacing w:val="0"/>
        <w:w w:val="75"/>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54378E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6E333CB"/>
    <w:multiLevelType w:val="hybridMultilevel"/>
    <w:tmpl w:val="7A547556"/>
    <w:lvl w:ilvl="0" w:tplc="DB609C5A">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C8B4993"/>
    <w:multiLevelType w:val="hybridMultilevel"/>
    <w:tmpl w:val="64CC76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E597FAE"/>
    <w:multiLevelType w:val="hybridMultilevel"/>
    <w:tmpl w:val="CAD8555E"/>
    <w:lvl w:ilvl="0" w:tplc="4F34FF9A">
      <w:numFmt w:val="bullet"/>
      <w:lvlText w:val="•"/>
      <w:lvlJc w:val="left"/>
      <w:pPr>
        <w:ind w:left="623" w:hanging="284"/>
      </w:pPr>
      <w:rPr>
        <w:rFonts w:ascii="New Aster LT Std" w:eastAsia="New Aster LT Std" w:hAnsi="New Aster LT Std" w:cs="New Aster LT Std" w:hint="default"/>
        <w:b w:val="0"/>
        <w:bCs w:val="0"/>
        <w:i/>
        <w:iCs/>
        <w:spacing w:val="0"/>
        <w:w w:val="100"/>
        <w:sz w:val="19"/>
        <w:szCs w:val="19"/>
        <w:lang w:val="it-IT" w:eastAsia="en-US" w:bidi="ar-SA"/>
      </w:rPr>
    </w:lvl>
    <w:lvl w:ilvl="1" w:tplc="52E4560A">
      <w:numFmt w:val="bullet"/>
      <w:lvlText w:val="□"/>
      <w:lvlJc w:val="left"/>
      <w:pPr>
        <w:ind w:left="765" w:hanging="284"/>
      </w:pPr>
      <w:rPr>
        <w:rFonts w:ascii="Symbol" w:eastAsia="Symbol" w:hAnsi="Symbol" w:cs="Symbol" w:hint="default"/>
        <w:b w:val="0"/>
        <w:bCs w:val="0"/>
        <w:i w:val="0"/>
        <w:iCs w:val="0"/>
        <w:spacing w:val="0"/>
        <w:w w:val="59"/>
        <w:sz w:val="24"/>
        <w:szCs w:val="24"/>
        <w:lang w:val="it-IT" w:eastAsia="en-US" w:bidi="ar-SA"/>
      </w:rPr>
    </w:lvl>
    <w:lvl w:ilvl="2" w:tplc="11EE5B88">
      <w:numFmt w:val="bullet"/>
      <w:lvlText w:val="•"/>
      <w:lvlJc w:val="left"/>
      <w:pPr>
        <w:ind w:left="1887" w:hanging="284"/>
      </w:pPr>
      <w:rPr>
        <w:rFonts w:hint="default"/>
        <w:lang w:val="it-IT" w:eastAsia="en-US" w:bidi="ar-SA"/>
      </w:rPr>
    </w:lvl>
    <w:lvl w:ilvl="3" w:tplc="FDBA527C">
      <w:numFmt w:val="bullet"/>
      <w:lvlText w:val="•"/>
      <w:lvlJc w:val="left"/>
      <w:pPr>
        <w:ind w:left="3015" w:hanging="284"/>
      </w:pPr>
      <w:rPr>
        <w:rFonts w:hint="default"/>
        <w:lang w:val="it-IT" w:eastAsia="en-US" w:bidi="ar-SA"/>
      </w:rPr>
    </w:lvl>
    <w:lvl w:ilvl="4" w:tplc="CC0C9380">
      <w:numFmt w:val="bullet"/>
      <w:lvlText w:val="•"/>
      <w:lvlJc w:val="left"/>
      <w:pPr>
        <w:ind w:left="4143" w:hanging="284"/>
      </w:pPr>
      <w:rPr>
        <w:rFonts w:hint="default"/>
        <w:lang w:val="it-IT" w:eastAsia="en-US" w:bidi="ar-SA"/>
      </w:rPr>
    </w:lvl>
    <w:lvl w:ilvl="5" w:tplc="117AFA70">
      <w:numFmt w:val="bullet"/>
      <w:lvlText w:val="•"/>
      <w:lvlJc w:val="left"/>
      <w:pPr>
        <w:ind w:left="5270" w:hanging="284"/>
      </w:pPr>
      <w:rPr>
        <w:rFonts w:hint="default"/>
        <w:lang w:val="it-IT" w:eastAsia="en-US" w:bidi="ar-SA"/>
      </w:rPr>
    </w:lvl>
    <w:lvl w:ilvl="6" w:tplc="59963AD4">
      <w:numFmt w:val="bullet"/>
      <w:lvlText w:val="•"/>
      <w:lvlJc w:val="left"/>
      <w:pPr>
        <w:ind w:left="6398" w:hanging="284"/>
      </w:pPr>
      <w:rPr>
        <w:rFonts w:hint="default"/>
        <w:lang w:val="it-IT" w:eastAsia="en-US" w:bidi="ar-SA"/>
      </w:rPr>
    </w:lvl>
    <w:lvl w:ilvl="7" w:tplc="1F58E430">
      <w:numFmt w:val="bullet"/>
      <w:lvlText w:val="•"/>
      <w:lvlJc w:val="left"/>
      <w:pPr>
        <w:ind w:left="7526" w:hanging="284"/>
      </w:pPr>
      <w:rPr>
        <w:rFonts w:hint="default"/>
        <w:lang w:val="it-IT" w:eastAsia="en-US" w:bidi="ar-SA"/>
      </w:rPr>
    </w:lvl>
    <w:lvl w:ilvl="8" w:tplc="BAF276AA">
      <w:numFmt w:val="bullet"/>
      <w:lvlText w:val="•"/>
      <w:lvlJc w:val="left"/>
      <w:pPr>
        <w:ind w:left="8653" w:hanging="284"/>
      </w:pPr>
      <w:rPr>
        <w:rFonts w:hint="default"/>
        <w:lang w:val="it-IT" w:eastAsia="en-US" w:bidi="ar-SA"/>
      </w:rPr>
    </w:lvl>
  </w:abstractNum>
  <w:abstractNum w:abstractNumId="14" w15:restartNumberingAfterBreak="0">
    <w:nsid w:val="20F20B41"/>
    <w:multiLevelType w:val="hybridMultilevel"/>
    <w:tmpl w:val="DE2A7A0E"/>
    <w:lvl w:ilvl="0" w:tplc="1556CE66">
      <w:numFmt w:val="bullet"/>
      <w:lvlText w:val="-"/>
      <w:lvlJc w:val="left"/>
      <w:pPr>
        <w:ind w:left="720" w:hanging="360"/>
      </w:pPr>
      <w:rPr>
        <w:rFonts w:ascii="Times New Roman" w:eastAsia="Times New Roman" w:hAnsi="Times New Roman" w:cs="Times New Roman" w:hint="default"/>
        <w:b w:val="0"/>
        <w:bCs w:val="0"/>
        <w:i w:val="0"/>
        <w:iCs w:val="0"/>
        <w:spacing w:val="0"/>
        <w:w w:val="99"/>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15C6FAE"/>
    <w:multiLevelType w:val="hybridMultilevel"/>
    <w:tmpl w:val="8C5C36FA"/>
    <w:lvl w:ilvl="0" w:tplc="DB609C5A">
      <w:numFmt w:val="bullet"/>
      <w:lvlText w:val="•"/>
      <w:lvlJc w:val="left"/>
      <w:pPr>
        <w:ind w:left="1068" w:hanging="360"/>
      </w:pPr>
      <w:rPr>
        <w:rFonts w:hint="default"/>
        <w:lang w:val="it-IT" w:eastAsia="en-US" w:bidi="ar-SA"/>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15:restartNumberingAfterBreak="0">
    <w:nsid w:val="22303296"/>
    <w:multiLevelType w:val="hybridMultilevel"/>
    <w:tmpl w:val="1DD4C82E"/>
    <w:lvl w:ilvl="0" w:tplc="4F34FF9A">
      <w:numFmt w:val="bullet"/>
      <w:lvlText w:val="•"/>
      <w:lvlJc w:val="left"/>
      <w:pPr>
        <w:ind w:left="720" w:hanging="360"/>
      </w:pPr>
      <w:rPr>
        <w:rFonts w:ascii="New Aster LT Std" w:eastAsia="New Aster LT Std" w:hAnsi="New Aster LT Std" w:cs="New Aster LT Std" w:hint="default"/>
        <w:b w:val="0"/>
        <w:bCs w:val="0"/>
        <w:i/>
        <w:iCs/>
        <w:w w:val="100"/>
        <w:sz w:val="19"/>
        <w:szCs w:val="19"/>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4923E5F"/>
    <w:multiLevelType w:val="hybridMultilevel"/>
    <w:tmpl w:val="188AA930"/>
    <w:lvl w:ilvl="0" w:tplc="1556CE66">
      <w:numFmt w:val="bullet"/>
      <w:lvlText w:val="-"/>
      <w:lvlJc w:val="left"/>
      <w:pPr>
        <w:ind w:left="1440" w:hanging="360"/>
      </w:pPr>
      <w:rPr>
        <w:rFonts w:ascii="Times New Roman" w:eastAsia="Times New Roman" w:hAnsi="Times New Roman" w:cs="Times New Roman" w:hint="default"/>
        <w:b w:val="0"/>
        <w:bCs w:val="0"/>
        <w:i w:val="0"/>
        <w:iCs w:val="0"/>
        <w:spacing w:val="0"/>
        <w:w w:val="99"/>
        <w:sz w:val="24"/>
        <w:szCs w:val="24"/>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24953204"/>
    <w:multiLevelType w:val="hybridMultilevel"/>
    <w:tmpl w:val="278CAB26"/>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2537703C"/>
    <w:multiLevelType w:val="hybridMultilevel"/>
    <w:tmpl w:val="F50A2B40"/>
    <w:lvl w:ilvl="0" w:tplc="1556CE66">
      <w:numFmt w:val="bullet"/>
      <w:lvlText w:val="-"/>
      <w:lvlJc w:val="left"/>
      <w:pPr>
        <w:ind w:left="720" w:hanging="360"/>
      </w:pPr>
      <w:rPr>
        <w:rFonts w:ascii="Times New Roman" w:eastAsia="Times New Roman" w:hAnsi="Times New Roman" w:cs="Times New Roman" w:hint="default"/>
        <w:b w:val="0"/>
        <w:bCs w:val="0"/>
        <w:i w:val="0"/>
        <w:iCs w:val="0"/>
        <w:spacing w:val="0"/>
        <w:w w:val="99"/>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2012C4"/>
    <w:multiLevelType w:val="hybridMultilevel"/>
    <w:tmpl w:val="3650267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8557D05"/>
    <w:multiLevelType w:val="hybridMultilevel"/>
    <w:tmpl w:val="DEAC22B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0EB532B"/>
    <w:multiLevelType w:val="hybridMultilevel"/>
    <w:tmpl w:val="6B2CF0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30C235F"/>
    <w:multiLevelType w:val="hybridMultilevel"/>
    <w:tmpl w:val="6F1C192C"/>
    <w:lvl w:ilvl="0" w:tplc="32287934">
      <w:numFmt w:val="bullet"/>
      <w:lvlText w:val=""/>
      <w:lvlJc w:val="left"/>
      <w:pPr>
        <w:ind w:left="765" w:hanging="240"/>
      </w:pPr>
      <w:rPr>
        <w:rFonts w:ascii="Wingdings" w:eastAsia="Wingdings" w:hAnsi="Wingdings" w:cs="Wingdings" w:hint="default"/>
        <w:b w:val="0"/>
        <w:bCs w:val="0"/>
        <w:i w:val="0"/>
        <w:iCs w:val="0"/>
        <w:spacing w:val="0"/>
        <w:w w:val="100"/>
        <w:sz w:val="22"/>
        <w:szCs w:val="22"/>
        <w:lang w:val="it-IT" w:eastAsia="en-US" w:bidi="ar-SA"/>
      </w:rPr>
    </w:lvl>
    <w:lvl w:ilvl="1" w:tplc="49BACA2A">
      <w:numFmt w:val="bullet"/>
      <w:lvlText w:val="•"/>
      <w:lvlJc w:val="left"/>
      <w:pPr>
        <w:ind w:left="1774" w:hanging="240"/>
      </w:pPr>
      <w:rPr>
        <w:rFonts w:hint="default"/>
        <w:lang w:val="it-IT" w:eastAsia="en-US" w:bidi="ar-SA"/>
      </w:rPr>
    </w:lvl>
    <w:lvl w:ilvl="2" w:tplc="2C5E668C">
      <w:numFmt w:val="bullet"/>
      <w:lvlText w:val="•"/>
      <w:lvlJc w:val="left"/>
      <w:pPr>
        <w:ind w:left="2789" w:hanging="240"/>
      </w:pPr>
      <w:rPr>
        <w:rFonts w:hint="default"/>
        <w:lang w:val="it-IT" w:eastAsia="en-US" w:bidi="ar-SA"/>
      </w:rPr>
    </w:lvl>
    <w:lvl w:ilvl="3" w:tplc="8278C68C">
      <w:numFmt w:val="bullet"/>
      <w:lvlText w:val="•"/>
      <w:lvlJc w:val="left"/>
      <w:pPr>
        <w:ind w:left="3804" w:hanging="240"/>
      </w:pPr>
      <w:rPr>
        <w:rFonts w:hint="default"/>
        <w:lang w:val="it-IT" w:eastAsia="en-US" w:bidi="ar-SA"/>
      </w:rPr>
    </w:lvl>
    <w:lvl w:ilvl="4" w:tplc="87F2CA2E">
      <w:numFmt w:val="bullet"/>
      <w:lvlText w:val="•"/>
      <w:lvlJc w:val="left"/>
      <w:pPr>
        <w:ind w:left="4819" w:hanging="240"/>
      </w:pPr>
      <w:rPr>
        <w:rFonts w:hint="default"/>
        <w:lang w:val="it-IT" w:eastAsia="en-US" w:bidi="ar-SA"/>
      </w:rPr>
    </w:lvl>
    <w:lvl w:ilvl="5" w:tplc="CA0CE22E">
      <w:numFmt w:val="bullet"/>
      <w:lvlText w:val="•"/>
      <w:lvlJc w:val="left"/>
      <w:pPr>
        <w:ind w:left="5834" w:hanging="240"/>
      </w:pPr>
      <w:rPr>
        <w:rFonts w:hint="default"/>
        <w:lang w:val="it-IT" w:eastAsia="en-US" w:bidi="ar-SA"/>
      </w:rPr>
    </w:lvl>
    <w:lvl w:ilvl="6" w:tplc="9266FF5C">
      <w:numFmt w:val="bullet"/>
      <w:lvlText w:val="•"/>
      <w:lvlJc w:val="left"/>
      <w:pPr>
        <w:ind w:left="6849" w:hanging="240"/>
      </w:pPr>
      <w:rPr>
        <w:rFonts w:hint="default"/>
        <w:lang w:val="it-IT" w:eastAsia="en-US" w:bidi="ar-SA"/>
      </w:rPr>
    </w:lvl>
    <w:lvl w:ilvl="7" w:tplc="1FA20BD8">
      <w:numFmt w:val="bullet"/>
      <w:lvlText w:val="•"/>
      <w:lvlJc w:val="left"/>
      <w:pPr>
        <w:ind w:left="7864" w:hanging="240"/>
      </w:pPr>
      <w:rPr>
        <w:rFonts w:hint="default"/>
        <w:lang w:val="it-IT" w:eastAsia="en-US" w:bidi="ar-SA"/>
      </w:rPr>
    </w:lvl>
    <w:lvl w:ilvl="8" w:tplc="DBD8A390">
      <w:numFmt w:val="bullet"/>
      <w:lvlText w:val="•"/>
      <w:lvlJc w:val="left"/>
      <w:pPr>
        <w:ind w:left="8879" w:hanging="240"/>
      </w:pPr>
      <w:rPr>
        <w:rFonts w:hint="default"/>
        <w:lang w:val="it-IT" w:eastAsia="en-US" w:bidi="ar-SA"/>
      </w:rPr>
    </w:lvl>
  </w:abstractNum>
  <w:abstractNum w:abstractNumId="24" w15:restartNumberingAfterBreak="0">
    <w:nsid w:val="3715655B"/>
    <w:multiLevelType w:val="hybridMultilevel"/>
    <w:tmpl w:val="5B56475A"/>
    <w:lvl w:ilvl="0" w:tplc="596A9C2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7CF3215"/>
    <w:multiLevelType w:val="hybridMultilevel"/>
    <w:tmpl w:val="34F28F7E"/>
    <w:lvl w:ilvl="0" w:tplc="C4FA45E8">
      <w:numFmt w:val="bullet"/>
      <w:lvlText w:val="-"/>
      <w:lvlJc w:val="left"/>
      <w:pPr>
        <w:ind w:left="1148" w:hanging="360"/>
      </w:pPr>
      <w:rPr>
        <w:rFonts w:ascii="Arial MT" w:eastAsia="Arial MT" w:hAnsi="Arial MT" w:cs="Arial MT" w:hint="default"/>
        <w:b w:val="0"/>
        <w:bCs w:val="0"/>
        <w:i w:val="0"/>
        <w:iCs w:val="0"/>
        <w:spacing w:val="0"/>
        <w:w w:val="100"/>
        <w:sz w:val="22"/>
        <w:szCs w:val="22"/>
        <w:lang w:val="it-IT" w:eastAsia="en-US" w:bidi="ar-SA"/>
      </w:rPr>
    </w:lvl>
    <w:lvl w:ilvl="1" w:tplc="04100003" w:tentative="1">
      <w:start w:val="1"/>
      <w:numFmt w:val="bullet"/>
      <w:lvlText w:val="o"/>
      <w:lvlJc w:val="left"/>
      <w:pPr>
        <w:ind w:left="1868" w:hanging="360"/>
      </w:pPr>
      <w:rPr>
        <w:rFonts w:ascii="Courier New" w:hAnsi="Courier New" w:cs="Courier New" w:hint="default"/>
      </w:rPr>
    </w:lvl>
    <w:lvl w:ilvl="2" w:tplc="04100005" w:tentative="1">
      <w:start w:val="1"/>
      <w:numFmt w:val="bullet"/>
      <w:lvlText w:val=""/>
      <w:lvlJc w:val="left"/>
      <w:pPr>
        <w:ind w:left="2588" w:hanging="360"/>
      </w:pPr>
      <w:rPr>
        <w:rFonts w:ascii="Wingdings" w:hAnsi="Wingdings" w:hint="default"/>
      </w:rPr>
    </w:lvl>
    <w:lvl w:ilvl="3" w:tplc="04100001" w:tentative="1">
      <w:start w:val="1"/>
      <w:numFmt w:val="bullet"/>
      <w:lvlText w:val=""/>
      <w:lvlJc w:val="left"/>
      <w:pPr>
        <w:ind w:left="3308" w:hanging="360"/>
      </w:pPr>
      <w:rPr>
        <w:rFonts w:ascii="Symbol" w:hAnsi="Symbol" w:hint="default"/>
      </w:rPr>
    </w:lvl>
    <w:lvl w:ilvl="4" w:tplc="04100003" w:tentative="1">
      <w:start w:val="1"/>
      <w:numFmt w:val="bullet"/>
      <w:lvlText w:val="o"/>
      <w:lvlJc w:val="left"/>
      <w:pPr>
        <w:ind w:left="4028" w:hanging="360"/>
      </w:pPr>
      <w:rPr>
        <w:rFonts w:ascii="Courier New" w:hAnsi="Courier New" w:cs="Courier New" w:hint="default"/>
      </w:rPr>
    </w:lvl>
    <w:lvl w:ilvl="5" w:tplc="04100005" w:tentative="1">
      <w:start w:val="1"/>
      <w:numFmt w:val="bullet"/>
      <w:lvlText w:val=""/>
      <w:lvlJc w:val="left"/>
      <w:pPr>
        <w:ind w:left="4748" w:hanging="360"/>
      </w:pPr>
      <w:rPr>
        <w:rFonts w:ascii="Wingdings" w:hAnsi="Wingdings" w:hint="default"/>
      </w:rPr>
    </w:lvl>
    <w:lvl w:ilvl="6" w:tplc="04100001" w:tentative="1">
      <w:start w:val="1"/>
      <w:numFmt w:val="bullet"/>
      <w:lvlText w:val=""/>
      <w:lvlJc w:val="left"/>
      <w:pPr>
        <w:ind w:left="5468" w:hanging="360"/>
      </w:pPr>
      <w:rPr>
        <w:rFonts w:ascii="Symbol" w:hAnsi="Symbol" w:hint="default"/>
      </w:rPr>
    </w:lvl>
    <w:lvl w:ilvl="7" w:tplc="04100003" w:tentative="1">
      <w:start w:val="1"/>
      <w:numFmt w:val="bullet"/>
      <w:lvlText w:val="o"/>
      <w:lvlJc w:val="left"/>
      <w:pPr>
        <w:ind w:left="6188" w:hanging="360"/>
      </w:pPr>
      <w:rPr>
        <w:rFonts w:ascii="Courier New" w:hAnsi="Courier New" w:cs="Courier New" w:hint="default"/>
      </w:rPr>
    </w:lvl>
    <w:lvl w:ilvl="8" w:tplc="04100005" w:tentative="1">
      <w:start w:val="1"/>
      <w:numFmt w:val="bullet"/>
      <w:lvlText w:val=""/>
      <w:lvlJc w:val="left"/>
      <w:pPr>
        <w:ind w:left="6908" w:hanging="360"/>
      </w:pPr>
      <w:rPr>
        <w:rFonts w:ascii="Wingdings" w:hAnsi="Wingdings" w:hint="default"/>
      </w:rPr>
    </w:lvl>
  </w:abstractNum>
  <w:abstractNum w:abstractNumId="26" w15:restartNumberingAfterBreak="0">
    <w:nsid w:val="3ADD6F01"/>
    <w:multiLevelType w:val="hybridMultilevel"/>
    <w:tmpl w:val="9B4E7698"/>
    <w:lvl w:ilvl="0" w:tplc="32A074EA">
      <w:start w:val="1"/>
      <w:numFmt w:val="decimal"/>
      <w:lvlText w:val="%1)"/>
      <w:lvlJc w:val="left"/>
      <w:pPr>
        <w:ind w:left="992" w:hanging="427"/>
      </w:pPr>
      <w:rPr>
        <w:rFonts w:ascii="Times New Roman" w:eastAsia="Times New Roman" w:hAnsi="Times New Roman" w:cs="Times New Roman" w:hint="default"/>
        <w:b w:val="0"/>
        <w:bCs w:val="0"/>
        <w:i w:val="0"/>
        <w:iCs w:val="0"/>
        <w:color w:val="221F1F"/>
        <w:spacing w:val="0"/>
        <w:w w:val="100"/>
        <w:sz w:val="24"/>
        <w:szCs w:val="24"/>
        <w:lang w:val="it-IT" w:eastAsia="en-US" w:bidi="ar-SA"/>
      </w:rPr>
    </w:lvl>
    <w:lvl w:ilvl="1" w:tplc="C28CEFAE">
      <w:numFmt w:val="bullet"/>
      <w:lvlText w:val="•"/>
      <w:lvlJc w:val="left"/>
      <w:pPr>
        <w:ind w:left="1990" w:hanging="427"/>
      </w:pPr>
      <w:rPr>
        <w:rFonts w:hint="default"/>
        <w:lang w:val="it-IT" w:eastAsia="en-US" w:bidi="ar-SA"/>
      </w:rPr>
    </w:lvl>
    <w:lvl w:ilvl="2" w:tplc="973C5B10">
      <w:numFmt w:val="bullet"/>
      <w:lvlText w:val="•"/>
      <w:lvlJc w:val="left"/>
      <w:pPr>
        <w:ind w:left="2981" w:hanging="427"/>
      </w:pPr>
      <w:rPr>
        <w:rFonts w:hint="default"/>
        <w:lang w:val="it-IT" w:eastAsia="en-US" w:bidi="ar-SA"/>
      </w:rPr>
    </w:lvl>
    <w:lvl w:ilvl="3" w:tplc="E1BEC46C">
      <w:numFmt w:val="bullet"/>
      <w:lvlText w:val="•"/>
      <w:lvlJc w:val="left"/>
      <w:pPr>
        <w:ind w:left="3972" w:hanging="427"/>
      </w:pPr>
      <w:rPr>
        <w:rFonts w:hint="default"/>
        <w:lang w:val="it-IT" w:eastAsia="en-US" w:bidi="ar-SA"/>
      </w:rPr>
    </w:lvl>
    <w:lvl w:ilvl="4" w:tplc="1D0241AE">
      <w:numFmt w:val="bullet"/>
      <w:lvlText w:val="•"/>
      <w:lvlJc w:val="left"/>
      <w:pPr>
        <w:ind w:left="4963" w:hanging="427"/>
      </w:pPr>
      <w:rPr>
        <w:rFonts w:hint="default"/>
        <w:lang w:val="it-IT" w:eastAsia="en-US" w:bidi="ar-SA"/>
      </w:rPr>
    </w:lvl>
    <w:lvl w:ilvl="5" w:tplc="4464135E">
      <w:numFmt w:val="bullet"/>
      <w:lvlText w:val="•"/>
      <w:lvlJc w:val="left"/>
      <w:pPr>
        <w:ind w:left="5954" w:hanging="427"/>
      </w:pPr>
      <w:rPr>
        <w:rFonts w:hint="default"/>
        <w:lang w:val="it-IT" w:eastAsia="en-US" w:bidi="ar-SA"/>
      </w:rPr>
    </w:lvl>
    <w:lvl w:ilvl="6" w:tplc="665E8D18">
      <w:numFmt w:val="bullet"/>
      <w:lvlText w:val="•"/>
      <w:lvlJc w:val="left"/>
      <w:pPr>
        <w:ind w:left="6945" w:hanging="427"/>
      </w:pPr>
      <w:rPr>
        <w:rFonts w:hint="default"/>
        <w:lang w:val="it-IT" w:eastAsia="en-US" w:bidi="ar-SA"/>
      </w:rPr>
    </w:lvl>
    <w:lvl w:ilvl="7" w:tplc="7D523AC0">
      <w:numFmt w:val="bullet"/>
      <w:lvlText w:val="•"/>
      <w:lvlJc w:val="left"/>
      <w:pPr>
        <w:ind w:left="7936" w:hanging="427"/>
      </w:pPr>
      <w:rPr>
        <w:rFonts w:hint="default"/>
        <w:lang w:val="it-IT" w:eastAsia="en-US" w:bidi="ar-SA"/>
      </w:rPr>
    </w:lvl>
    <w:lvl w:ilvl="8" w:tplc="4B5C81AA">
      <w:numFmt w:val="bullet"/>
      <w:lvlText w:val="•"/>
      <w:lvlJc w:val="left"/>
      <w:pPr>
        <w:ind w:left="8927" w:hanging="427"/>
      </w:pPr>
      <w:rPr>
        <w:rFonts w:hint="default"/>
        <w:lang w:val="it-IT" w:eastAsia="en-US" w:bidi="ar-SA"/>
      </w:rPr>
    </w:lvl>
  </w:abstractNum>
  <w:abstractNum w:abstractNumId="27" w15:restartNumberingAfterBreak="0">
    <w:nsid w:val="3D0061FE"/>
    <w:multiLevelType w:val="multilevel"/>
    <w:tmpl w:val="2FB479C2"/>
    <w:lvl w:ilvl="0">
      <w:start w:val="1"/>
      <w:numFmt w:val="decimal"/>
      <w:lvlText w:val="%1"/>
      <w:lvlJc w:val="left"/>
      <w:pPr>
        <w:ind w:left="745" w:hanging="180"/>
      </w:pPr>
      <w:rPr>
        <w:rFonts w:hint="default"/>
        <w:spacing w:val="0"/>
        <w:w w:val="100"/>
        <w:lang w:val="it-IT" w:eastAsia="en-US" w:bidi="ar-SA"/>
      </w:rPr>
    </w:lvl>
    <w:lvl w:ilvl="1">
      <w:start w:val="1"/>
      <w:numFmt w:val="decimal"/>
      <w:lvlText w:val="%1.%2"/>
      <w:lvlJc w:val="left"/>
      <w:pPr>
        <w:ind w:left="954" w:hanging="389"/>
      </w:pPr>
      <w:rPr>
        <w:rFonts w:hint="default"/>
        <w:spacing w:val="0"/>
        <w:w w:val="99"/>
        <w:lang w:val="it-IT" w:eastAsia="en-US" w:bidi="ar-SA"/>
      </w:rPr>
    </w:lvl>
    <w:lvl w:ilvl="2">
      <w:numFmt w:val="bullet"/>
      <w:lvlText w:val="•"/>
      <w:lvlJc w:val="left"/>
      <w:pPr>
        <w:ind w:left="960" w:hanging="389"/>
      </w:pPr>
      <w:rPr>
        <w:rFonts w:hint="default"/>
        <w:lang w:val="it-IT" w:eastAsia="en-US" w:bidi="ar-SA"/>
      </w:rPr>
    </w:lvl>
    <w:lvl w:ilvl="3">
      <w:numFmt w:val="bullet"/>
      <w:lvlText w:val="•"/>
      <w:lvlJc w:val="left"/>
      <w:pPr>
        <w:ind w:left="2203" w:hanging="389"/>
      </w:pPr>
      <w:rPr>
        <w:rFonts w:hint="default"/>
        <w:lang w:val="it-IT" w:eastAsia="en-US" w:bidi="ar-SA"/>
      </w:rPr>
    </w:lvl>
    <w:lvl w:ilvl="4">
      <w:numFmt w:val="bullet"/>
      <w:lvlText w:val="•"/>
      <w:lvlJc w:val="left"/>
      <w:pPr>
        <w:ind w:left="3447" w:hanging="389"/>
      </w:pPr>
      <w:rPr>
        <w:rFonts w:hint="default"/>
        <w:lang w:val="it-IT" w:eastAsia="en-US" w:bidi="ar-SA"/>
      </w:rPr>
    </w:lvl>
    <w:lvl w:ilvl="5">
      <w:numFmt w:val="bullet"/>
      <w:lvlText w:val="•"/>
      <w:lvlJc w:val="left"/>
      <w:pPr>
        <w:ind w:left="4690" w:hanging="389"/>
      </w:pPr>
      <w:rPr>
        <w:rFonts w:hint="default"/>
        <w:lang w:val="it-IT" w:eastAsia="en-US" w:bidi="ar-SA"/>
      </w:rPr>
    </w:lvl>
    <w:lvl w:ilvl="6">
      <w:numFmt w:val="bullet"/>
      <w:lvlText w:val="•"/>
      <w:lvlJc w:val="left"/>
      <w:pPr>
        <w:ind w:left="5934" w:hanging="389"/>
      </w:pPr>
      <w:rPr>
        <w:rFonts w:hint="default"/>
        <w:lang w:val="it-IT" w:eastAsia="en-US" w:bidi="ar-SA"/>
      </w:rPr>
    </w:lvl>
    <w:lvl w:ilvl="7">
      <w:numFmt w:val="bullet"/>
      <w:lvlText w:val="•"/>
      <w:lvlJc w:val="left"/>
      <w:pPr>
        <w:ind w:left="7178" w:hanging="389"/>
      </w:pPr>
      <w:rPr>
        <w:rFonts w:hint="default"/>
        <w:lang w:val="it-IT" w:eastAsia="en-US" w:bidi="ar-SA"/>
      </w:rPr>
    </w:lvl>
    <w:lvl w:ilvl="8">
      <w:numFmt w:val="bullet"/>
      <w:lvlText w:val="•"/>
      <w:lvlJc w:val="left"/>
      <w:pPr>
        <w:ind w:left="8421" w:hanging="389"/>
      </w:pPr>
      <w:rPr>
        <w:rFonts w:hint="default"/>
        <w:lang w:val="it-IT" w:eastAsia="en-US" w:bidi="ar-SA"/>
      </w:rPr>
    </w:lvl>
  </w:abstractNum>
  <w:abstractNum w:abstractNumId="28" w15:restartNumberingAfterBreak="0">
    <w:nsid w:val="3D1D3264"/>
    <w:multiLevelType w:val="hybridMultilevel"/>
    <w:tmpl w:val="C83E824A"/>
    <w:lvl w:ilvl="0" w:tplc="1C008E4A">
      <w:numFmt w:val="bullet"/>
      <w:lvlText w:val="□"/>
      <w:lvlJc w:val="left"/>
      <w:pPr>
        <w:ind w:left="2160" w:hanging="360"/>
      </w:pPr>
      <w:rPr>
        <w:rFonts w:ascii="Lucida Sans Unicode" w:eastAsia="Lucida Sans Unicode" w:hAnsi="Lucida Sans Unicode" w:cs="Lucida Sans Unicode" w:hint="default"/>
        <w:b w:val="0"/>
        <w:bCs w:val="0"/>
        <w:i w:val="0"/>
        <w:iCs w:val="0"/>
        <w:color w:val="221F1F"/>
        <w:spacing w:val="0"/>
        <w:w w:val="75"/>
        <w:sz w:val="24"/>
        <w:szCs w:val="24"/>
        <w:lang w:val="it-IT" w:eastAsia="en-US" w:bidi="ar-SA"/>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9" w15:restartNumberingAfterBreak="0">
    <w:nsid w:val="3D274338"/>
    <w:multiLevelType w:val="hybridMultilevel"/>
    <w:tmpl w:val="513E2D7E"/>
    <w:lvl w:ilvl="0" w:tplc="FFFFFFFF">
      <w:start w:val="1"/>
      <w:numFmt w:val="lowerLetter"/>
      <w:lvlText w:val="%1)"/>
      <w:lvlJc w:val="left"/>
      <w:pPr>
        <w:ind w:left="848" w:hanging="284"/>
      </w:pPr>
      <w:rPr>
        <w:rFonts w:ascii="Times New Roman" w:eastAsia="Times New Roman" w:hAnsi="Times New Roman" w:cs="Times New Roman" w:hint="default"/>
        <w:b w:val="0"/>
        <w:bCs w:val="0"/>
        <w:i w:val="0"/>
        <w:iCs w:val="0"/>
        <w:color w:val="221F1F"/>
        <w:spacing w:val="-1"/>
        <w:w w:val="100"/>
        <w:sz w:val="24"/>
        <w:szCs w:val="24"/>
        <w:lang w:val="it-IT" w:eastAsia="en-US" w:bidi="ar-SA"/>
      </w:rPr>
    </w:lvl>
    <w:lvl w:ilvl="1" w:tplc="FFFFFFFF">
      <w:numFmt w:val="bullet"/>
      <w:lvlText w:val="-"/>
      <w:lvlJc w:val="left"/>
      <w:pPr>
        <w:ind w:left="1285" w:hanging="360"/>
      </w:pPr>
      <w:rPr>
        <w:rFonts w:ascii="Times New Roman" w:eastAsia="Times New Roman" w:hAnsi="Times New Roman" w:cs="Times New Roman" w:hint="default"/>
        <w:b/>
        <w:bCs/>
        <w:i w:val="0"/>
        <w:iCs w:val="0"/>
        <w:color w:val="2050A2"/>
        <w:spacing w:val="0"/>
        <w:w w:val="100"/>
        <w:sz w:val="24"/>
        <w:szCs w:val="24"/>
        <w:lang w:val="it-IT" w:eastAsia="en-US" w:bidi="ar-SA"/>
      </w:rPr>
    </w:lvl>
    <w:lvl w:ilvl="2" w:tplc="FFFFFFFF">
      <w:start w:val="1"/>
      <w:numFmt w:val="lowerRoman"/>
      <w:lvlText w:val="%3."/>
      <w:lvlJc w:val="left"/>
      <w:pPr>
        <w:ind w:left="1417" w:hanging="190"/>
      </w:pPr>
      <w:rPr>
        <w:rFonts w:ascii="Times New Roman" w:eastAsia="Times New Roman" w:hAnsi="Times New Roman" w:cs="Times New Roman" w:hint="default"/>
        <w:b w:val="0"/>
        <w:bCs w:val="0"/>
        <w:i w:val="0"/>
        <w:iCs w:val="0"/>
        <w:color w:val="221F1F"/>
        <w:spacing w:val="0"/>
        <w:w w:val="100"/>
        <w:sz w:val="24"/>
        <w:szCs w:val="24"/>
        <w:lang w:val="it-IT" w:eastAsia="en-US" w:bidi="ar-SA"/>
      </w:rPr>
    </w:lvl>
    <w:lvl w:ilvl="3" w:tplc="FFFFFFFF">
      <w:numFmt w:val="bullet"/>
      <w:lvlText w:val="•"/>
      <w:lvlJc w:val="left"/>
      <w:pPr>
        <w:ind w:left="2606" w:hanging="190"/>
      </w:pPr>
      <w:rPr>
        <w:rFonts w:hint="default"/>
        <w:lang w:val="it-IT" w:eastAsia="en-US" w:bidi="ar-SA"/>
      </w:rPr>
    </w:lvl>
    <w:lvl w:ilvl="4" w:tplc="FFFFFFFF">
      <w:numFmt w:val="bullet"/>
      <w:lvlText w:val="•"/>
      <w:lvlJc w:val="left"/>
      <w:pPr>
        <w:ind w:left="3792" w:hanging="190"/>
      </w:pPr>
      <w:rPr>
        <w:rFonts w:hint="default"/>
        <w:lang w:val="it-IT" w:eastAsia="en-US" w:bidi="ar-SA"/>
      </w:rPr>
    </w:lvl>
    <w:lvl w:ilvl="5" w:tplc="FFFFFFFF">
      <w:numFmt w:val="bullet"/>
      <w:lvlText w:val="•"/>
      <w:lvlJc w:val="left"/>
      <w:pPr>
        <w:ind w:left="4978" w:hanging="190"/>
      </w:pPr>
      <w:rPr>
        <w:rFonts w:hint="default"/>
        <w:lang w:val="it-IT" w:eastAsia="en-US" w:bidi="ar-SA"/>
      </w:rPr>
    </w:lvl>
    <w:lvl w:ilvl="6" w:tplc="FFFFFFFF">
      <w:numFmt w:val="bullet"/>
      <w:lvlText w:val="•"/>
      <w:lvlJc w:val="left"/>
      <w:pPr>
        <w:ind w:left="6164" w:hanging="190"/>
      </w:pPr>
      <w:rPr>
        <w:rFonts w:hint="default"/>
        <w:lang w:val="it-IT" w:eastAsia="en-US" w:bidi="ar-SA"/>
      </w:rPr>
    </w:lvl>
    <w:lvl w:ilvl="7" w:tplc="FFFFFFFF">
      <w:numFmt w:val="bullet"/>
      <w:lvlText w:val="•"/>
      <w:lvlJc w:val="left"/>
      <w:pPr>
        <w:ind w:left="7350" w:hanging="190"/>
      </w:pPr>
      <w:rPr>
        <w:rFonts w:hint="default"/>
        <w:lang w:val="it-IT" w:eastAsia="en-US" w:bidi="ar-SA"/>
      </w:rPr>
    </w:lvl>
    <w:lvl w:ilvl="8" w:tplc="FFFFFFFF">
      <w:numFmt w:val="bullet"/>
      <w:lvlText w:val="•"/>
      <w:lvlJc w:val="left"/>
      <w:pPr>
        <w:ind w:left="8536" w:hanging="190"/>
      </w:pPr>
      <w:rPr>
        <w:rFonts w:hint="default"/>
        <w:lang w:val="it-IT" w:eastAsia="en-US" w:bidi="ar-SA"/>
      </w:rPr>
    </w:lvl>
  </w:abstractNum>
  <w:abstractNum w:abstractNumId="30" w15:restartNumberingAfterBreak="0">
    <w:nsid w:val="3D482F12"/>
    <w:multiLevelType w:val="hybridMultilevel"/>
    <w:tmpl w:val="BA5E61DA"/>
    <w:lvl w:ilvl="0" w:tplc="1C008E4A">
      <w:numFmt w:val="bullet"/>
      <w:lvlText w:val="□"/>
      <w:lvlJc w:val="left"/>
      <w:pPr>
        <w:ind w:left="644" w:hanging="360"/>
      </w:pPr>
      <w:rPr>
        <w:rFonts w:ascii="Lucida Sans Unicode" w:eastAsia="Lucida Sans Unicode" w:hAnsi="Lucida Sans Unicode" w:cs="Lucida Sans Unicode" w:hint="default"/>
        <w:b w:val="0"/>
        <w:bCs w:val="0"/>
        <w:i w:val="0"/>
        <w:iCs w:val="0"/>
        <w:color w:val="221F1F"/>
        <w:spacing w:val="0"/>
        <w:w w:val="75"/>
        <w:sz w:val="24"/>
        <w:szCs w:val="24"/>
        <w:lang w:val="it-IT" w:eastAsia="en-US" w:bidi="ar-SA"/>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1" w15:restartNumberingAfterBreak="0">
    <w:nsid w:val="3ED2402C"/>
    <w:multiLevelType w:val="hybridMultilevel"/>
    <w:tmpl w:val="04F8FDC4"/>
    <w:lvl w:ilvl="0" w:tplc="8B84F042">
      <w:start w:val="1"/>
      <w:numFmt w:val="lowerLetter"/>
      <w:lvlText w:val="%1)"/>
      <w:lvlJc w:val="left"/>
      <w:pPr>
        <w:ind w:left="848" w:hanging="284"/>
      </w:pPr>
      <w:rPr>
        <w:rFonts w:ascii="Times New Roman" w:eastAsia="Times New Roman" w:hAnsi="Times New Roman" w:cs="Times New Roman" w:hint="default"/>
        <w:b w:val="0"/>
        <w:bCs w:val="0"/>
        <w:i w:val="0"/>
        <w:iCs w:val="0"/>
        <w:color w:val="221F1F"/>
        <w:spacing w:val="-1"/>
        <w:w w:val="100"/>
        <w:sz w:val="24"/>
        <w:szCs w:val="24"/>
        <w:lang w:val="it-IT" w:eastAsia="en-US" w:bidi="ar-SA"/>
      </w:rPr>
    </w:lvl>
    <w:lvl w:ilvl="1" w:tplc="BD5261EC">
      <w:numFmt w:val="bullet"/>
      <w:lvlText w:val="-"/>
      <w:lvlJc w:val="left"/>
      <w:pPr>
        <w:ind w:left="1285" w:hanging="360"/>
      </w:pPr>
      <w:rPr>
        <w:rFonts w:ascii="Times New Roman" w:eastAsia="Times New Roman" w:hAnsi="Times New Roman" w:cs="Times New Roman" w:hint="default"/>
        <w:b/>
        <w:bCs/>
        <w:i w:val="0"/>
        <w:iCs w:val="0"/>
        <w:color w:val="2050A2"/>
        <w:spacing w:val="0"/>
        <w:w w:val="100"/>
        <w:sz w:val="24"/>
        <w:szCs w:val="24"/>
        <w:lang w:val="it-IT" w:eastAsia="en-US" w:bidi="ar-SA"/>
      </w:rPr>
    </w:lvl>
    <w:lvl w:ilvl="2" w:tplc="213A33D8">
      <w:start w:val="1"/>
      <w:numFmt w:val="lowerRoman"/>
      <w:lvlText w:val="%3."/>
      <w:lvlJc w:val="left"/>
      <w:pPr>
        <w:ind w:left="1417" w:hanging="190"/>
      </w:pPr>
      <w:rPr>
        <w:rFonts w:ascii="Times New Roman" w:eastAsia="Times New Roman" w:hAnsi="Times New Roman" w:cs="Times New Roman" w:hint="default"/>
        <w:b w:val="0"/>
        <w:bCs w:val="0"/>
        <w:i w:val="0"/>
        <w:iCs w:val="0"/>
        <w:color w:val="221F1F"/>
        <w:spacing w:val="0"/>
        <w:w w:val="100"/>
        <w:sz w:val="24"/>
        <w:szCs w:val="24"/>
        <w:lang w:val="it-IT" w:eastAsia="en-US" w:bidi="ar-SA"/>
      </w:rPr>
    </w:lvl>
    <w:lvl w:ilvl="3" w:tplc="64BC0466">
      <w:numFmt w:val="bullet"/>
      <w:lvlText w:val="•"/>
      <w:lvlJc w:val="left"/>
      <w:pPr>
        <w:ind w:left="2606" w:hanging="190"/>
      </w:pPr>
      <w:rPr>
        <w:rFonts w:hint="default"/>
        <w:lang w:val="it-IT" w:eastAsia="en-US" w:bidi="ar-SA"/>
      </w:rPr>
    </w:lvl>
    <w:lvl w:ilvl="4" w:tplc="092E754E">
      <w:numFmt w:val="bullet"/>
      <w:lvlText w:val="•"/>
      <w:lvlJc w:val="left"/>
      <w:pPr>
        <w:ind w:left="3792" w:hanging="190"/>
      </w:pPr>
      <w:rPr>
        <w:rFonts w:hint="default"/>
        <w:lang w:val="it-IT" w:eastAsia="en-US" w:bidi="ar-SA"/>
      </w:rPr>
    </w:lvl>
    <w:lvl w:ilvl="5" w:tplc="9B1AE38C">
      <w:numFmt w:val="bullet"/>
      <w:lvlText w:val="•"/>
      <w:lvlJc w:val="left"/>
      <w:pPr>
        <w:ind w:left="4978" w:hanging="190"/>
      </w:pPr>
      <w:rPr>
        <w:rFonts w:hint="default"/>
        <w:lang w:val="it-IT" w:eastAsia="en-US" w:bidi="ar-SA"/>
      </w:rPr>
    </w:lvl>
    <w:lvl w:ilvl="6" w:tplc="F68AA27C">
      <w:numFmt w:val="bullet"/>
      <w:lvlText w:val="•"/>
      <w:lvlJc w:val="left"/>
      <w:pPr>
        <w:ind w:left="6164" w:hanging="190"/>
      </w:pPr>
      <w:rPr>
        <w:rFonts w:hint="default"/>
        <w:lang w:val="it-IT" w:eastAsia="en-US" w:bidi="ar-SA"/>
      </w:rPr>
    </w:lvl>
    <w:lvl w:ilvl="7" w:tplc="FC5E55F8">
      <w:numFmt w:val="bullet"/>
      <w:lvlText w:val="•"/>
      <w:lvlJc w:val="left"/>
      <w:pPr>
        <w:ind w:left="7350" w:hanging="190"/>
      </w:pPr>
      <w:rPr>
        <w:rFonts w:hint="default"/>
        <w:lang w:val="it-IT" w:eastAsia="en-US" w:bidi="ar-SA"/>
      </w:rPr>
    </w:lvl>
    <w:lvl w:ilvl="8" w:tplc="6950C12A">
      <w:numFmt w:val="bullet"/>
      <w:lvlText w:val="•"/>
      <w:lvlJc w:val="left"/>
      <w:pPr>
        <w:ind w:left="8536" w:hanging="190"/>
      </w:pPr>
      <w:rPr>
        <w:rFonts w:hint="default"/>
        <w:lang w:val="it-IT" w:eastAsia="en-US" w:bidi="ar-SA"/>
      </w:rPr>
    </w:lvl>
  </w:abstractNum>
  <w:abstractNum w:abstractNumId="32" w15:restartNumberingAfterBreak="0">
    <w:nsid w:val="3FC93828"/>
    <w:multiLevelType w:val="hybridMultilevel"/>
    <w:tmpl w:val="089EDC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015230D"/>
    <w:multiLevelType w:val="hybridMultilevel"/>
    <w:tmpl w:val="955A1302"/>
    <w:lvl w:ilvl="0" w:tplc="04100019">
      <w:start w:val="1"/>
      <w:numFmt w:val="lowerLetter"/>
      <w:lvlText w:val="%1."/>
      <w:lvlJc w:val="left"/>
      <w:pPr>
        <w:ind w:left="720" w:hanging="360"/>
      </w:pPr>
    </w:lvl>
    <w:lvl w:ilvl="1" w:tplc="B9EE64CA">
      <w:start w:val="1"/>
      <w:numFmt w:val="lowerLetter"/>
      <w:lvlText w:val="%2)"/>
      <w:lvlJc w:val="left"/>
      <w:pPr>
        <w:ind w:left="1785" w:hanging="705"/>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2A271B3"/>
    <w:multiLevelType w:val="hybridMultilevel"/>
    <w:tmpl w:val="6F3CAA34"/>
    <w:lvl w:ilvl="0" w:tplc="16E221C4">
      <w:start w:val="1"/>
      <w:numFmt w:val="upperLetter"/>
      <w:lvlText w:val="%1."/>
      <w:lvlJc w:val="left"/>
      <w:pPr>
        <w:ind w:left="765" w:hanging="284"/>
      </w:pPr>
      <w:rPr>
        <w:rFonts w:ascii="Times New Roman" w:eastAsia="Times New Roman" w:hAnsi="Times New Roman" w:cs="Times New Roman" w:hint="default"/>
        <w:b w:val="0"/>
        <w:bCs w:val="0"/>
        <w:i w:val="0"/>
        <w:iCs w:val="0"/>
        <w:spacing w:val="-1"/>
        <w:w w:val="99"/>
        <w:sz w:val="24"/>
        <w:szCs w:val="24"/>
        <w:lang w:val="it-IT" w:eastAsia="en-US" w:bidi="ar-SA"/>
      </w:rPr>
    </w:lvl>
    <w:lvl w:ilvl="1" w:tplc="B0FE6F20">
      <w:numFmt w:val="bullet"/>
      <w:lvlText w:val=""/>
      <w:lvlJc w:val="left"/>
      <w:pPr>
        <w:ind w:left="1202" w:hanging="360"/>
      </w:pPr>
      <w:rPr>
        <w:rFonts w:ascii="Wingdings" w:eastAsia="Wingdings" w:hAnsi="Wingdings" w:cs="Wingdings" w:hint="default"/>
        <w:b w:val="0"/>
        <w:bCs w:val="0"/>
        <w:i w:val="0"/>
        <w:iCs w:val="0"/>
        <w:spacing w:val="0"/>
        <w:w w:val="99"/>
        <w:sz w:val="24"/>
        <w:szCs w:val="24"/>
        <w:lang w:val="it-IT" w:eastAsia="en-US" w:bidi="ar-SA"/>
      </w:rPr>
    </w:lvl>
    <w:lvl w:ilvl="2" w:tplc="B4BC3F14">
      <w:numFmt w:val="bullet"/>
      <w:lvlText w:val="•"/>
      <w:lvlJc w:val="left"/>
      <w:pPr>
        <w:ind w:left="2278" w:hanging="360"/>
      </w:pPr>
      <w:rPr>
        <w:rFonts w:hint="default"/>
        <w:lang w:val="it-IT" w:eastAsia="en-US" w:bidi="ar-SA"/>
      </w:rPr>
    </w:lvl>
    <w:lvl w:ilvl="3" w:tplc="4000B14A">
      <w:numFmt w:val="bullet"/>
      <w:lvlText w:val="•"/>
      <w:lvlJc w:val="left"/>
      <w:pPr>
        <w:ind w:left="3357" w:hanging="360"/>
      </w:pPr>
      <w:rPr>
        <w:rFonts w:hint="default"/>
        <w:lang w:val="it-IT" w:eastAsia="en-US" w:bidi="ar-SA"/>
      </w:rPr>
    </w:lvl>
    <w:lvl w:ilvl="4" w:tplc="07DA7F88">
      <w:numFmt w:val="bullet"/>
      <w:lvlText w:val="•"/>
      <w:lvlJc w:val="left"/>
      <w:pPr>
        <w:ind w:left="4436" w:hanging="360"/>
      </w:pPr>
      <w:rPr>
        <w:rFonts w:hint="default"/>
        <w:lang w:val="it-IT" w:eastAsia="en-US" w:bidi="ar-SA"/>
      </w:rPr>
    </w:lvl>
    <w:lvl w:ilvl="5" w:tplc="249A9D64">
      <w:numFmt w:val="bullet"/>
      <w:lvlText w:val="•"/>
      <w:lvlJc w:val="left"/>
      <w:pPr>
        <w:ind w:left="5515" w:hanging="360"/>
      </w:pPr>
      <w:rPr>
        <w:rFonts w:hint="default"/>
        <w:lang w:val="it-IT" w:eastAsia="en-US" w:bidi="ar-SA"/>
      </w:rPr>
    </w:lvl>
    <w:lvl w:ilvl="6" w:tplc="78885EF0">
      <w:numFmt w:val="bullet"/>
      <w:lvlText w:val="•"/>
      <w:lvlJc w:val="left"/>
      <w:pPr>
        <w:ind w:left="6593" w:hanging="360"/>
      </w:pPr>
      <w:rPr>
        <w:rFonts w:hint="default"/>
        <w:lang w:val="it-IT" w:eastAsia="en-US" w:bidi="ar-SA"/>
      </w:rPr>
    </w:lvl>
    <w:lvl w:ilvl="7" w:tplc="99363126">
      <w:numFmt w:val="bullet"/>
      <w:lvlText w:val="•"/>
      <w:lvlJc w:val="left"/>
      <w:pPr>
        <w:ind w:left="7672" w:hanging="360"/>
      </w:pPr>
      <w:rPr>
        <w:rFonts w:hint="default"/>
        <w:lang w:val="it-IT" w:eastAsia="en-US" w:bidi="ar-SA"/>
      </w:rPr>
    </w:lvl>
    <w:lvl w:ilvl="8" w:tplc="CD1AE536">
      <w:numFmt w:val="bullet"/>
      <w:lvlText w:val="•"/>
      <w:lvlJc w:val="left"/>
      <w:pPr>
        <w:ind w:left="8751" w:hanging="360"/>
      </w:pPr>
      <w:rPr>
        <w:rFonts w:hint="default"/>
        <w:lang w:val="it-IT" w:eastAsia="en-US" w:bidi="ar-SA"/>
      </w:rPr>
    </w:lvl>
  </w:abstractNum>
  <w:abstractNum w:abstractNumId="35" w15:restartNumberingAfterBreak="0">
    <w:nsid w:val="42FC0000"/>
    <w:multiLevelType w:val="hybridMultilevel"/>
    <w:tmpl w:val="589CD95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4341493F"/>
    <w:multiLevelType w:val="hybridMultilevel"/>
    <w:tmpl w:val="578ACAF8"/>
    <w:lvl w:ilvl="0" w:tplc="1556CE66">
      <w:numFmt w:val="bullet"/>
      <w:lvlText w:val="-"/>
      <w:lvlJc w:val="left"/>
      <w:pPr>
        <w:ind w:left="720" w:hanging="360"/>
      </w:pPr>
      <w:rPr>
        <w:rFonts w:ascii="Times New Roman" w:eastAsia="Times New Roman" w:hAnsi="Times New Roman" w:cs="Times New Roman" w:hint="default"/>
        <w:b w:val="0"/>
        <w:bCs w:val="0"/>
        <w:i w:val="0"/>
        <w:iCs w:val="0"/>
        <w:spacing w:val="0"/>
        <w:w w:val="99"/>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47037FC"/>
    <w:multiLevelType w:val="hybridMultilevel"/>
    <w:tmpl w:val="EE721CB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C71518A"/>
    <w:multiLevelType w:val="hybridMultilevel"/>
    <w:tmpl w:val="54D86798"/>
    <w:lvl w:ilvl="0" w:tplc="C4FA45E8">
      <w:numFmt w:val="bullet"/>
      <w:lvlText w:val="-"/>
      <w:lvlJc w:val="left"/>
      <w:pPr>
        <w:ind w:left="720" w:hanging="360"/>
      </w:pPr>
      <w:rPr>
        <w:rFonts w:ascii="Arial MT" w:eastAsia="Arial MT" w:hAnsi="Arial MT" w:cs="Arial MT" w:hint="default"/>
        <w:b w:val="0"/>
        <w:bCs w:val="0"/>
        <w:i w:val="0"/>
        <w:iCs w:val="0"/>
        <w:spacing w:val="0"/>
        <w:w w:val="100"/>
        <w:sz w:val="22"/>
        <w:szCs w:val="22"/>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CF05830"/>
    <w:multiLevelType w:val="hybridMultilevel"/>
    <w:tmpl w:val="03E4A892"/>
    <w:lvl w:ilvl="0" w:tplc="83945F1A">
      <w:numFmt w:val="bullet"/>
      <w:lvlText w:val="-"/>
      <w:lvlJc w:val="left"/>
      <w:pPr>
        <w:ind w:left="565" w:hanging="140"/>
      </w:pPr>
      <w:rPr>
        <w:rFonts w:ascii="Times New Roman" w:eastAsia="Times New Roman" w:hAnsi="Times New Roman" w:cs="Times New Roman" w:hint="default"/>
        <w:b w:val="0"/>
        <w:bCs w:val="0"/>
        <w:i w:val="0"/>
        <w:iCs w:val="0"/>
        <w:color w:val="221F1F"/>
        <w:spacing w:val="0"/>
        <w:w w:val="100"/>
        <w:sz w:val="24"/>
        <w:szCs w:val="24"/>
        <w:lang w:val="it-IT" w:eastAsia="en-US" w:bidi="ar-SA"/>
      </w:rPr>
    </w:lvl>
    <w:lvl w:ilvl="1" w:tplc="D27C78D6">
      <w:numFmt w:val="bullet"/>
      <w:lvlText w:val="•"/>
      <w:lvlJc w:val="left"/>
      <w:pPr>
        <w:ind w:left="1594" w:hanging="140"/>
      </w:pPr>
      <w:rPr>
        <w:rFonts w:hint="default"/>
        <w:lang w:val="it-IT" w:eastAsia="en-US" w:bidi="ar-SA"/>
      </w:rPr>
    </w:lvl>
    <w:lvl w:ilvl="2" w:tplc="4F5841AE">
      <w:numFmt w:val="bullet"/>
      <w:lvlText w:val="•"/>
      <w:lvlJc w:val="left"/>
      <w:pPr>
        <w:ind w:left="2629" w:hanging="140"/>
      </w:pPr>
      <w:rPr>
        <w:rFonts w:hint="default"/>
        <w:lang w:val="it-IT" w:eastAsia="en-US" w:bidi="ar-SA"/>
      </w:rPr>
    </w:lvl>
    <w:lvl w:ilvl="3" w:tplc="100E5E7C">
      <w:numFmt w:val="bullet"/>
      <w:lvlText w:val="•"/>
      <w:lvlJc w:val="left"/>
      <w:pPr>
        <w:ind w:left="3664" w:hanging="140"/>
      </w:pPr>
      <w:rPr>
        <w:rFonts w:hint="default"/>
        <w:lang w:val="it-IT" w:eastAsia="en-US" w:bidi="ar-SA"/>
      </w:rPr>
    </w:lvl>
    <w:lvl w:ilvl="4" w:tplc="4CE455EA">
      <w:numFmt w:val="bullet"/>
      <w:lvlText w:val="•"/>
      <w:lvlJc w:val="left"/>
      <w:pPr>
        <w:ind w:left="4699" w:hanging="140"/>
      </w:pPr>
      <w:rPr>
        <w:rFonts w:hint="default"/>
        <w:lang w:val="it-IT" w:eastAsia="en-US" w:bidi="ar-SA"/>
      </w:rPr>
    </w:lvl>
    <w:lvl w:ilvl="5" w:tplc="74AC7B04">
      <w:numFmt w:val="bullet"/>
      <w:lvlText w:val="•"/>
      <w:lvlJc w:val="left"/>
      <w:pPr>
        <w:ind w:left="5734" w:hanging="140"/>
      </w:pPr>
      <w:rPr>
        <w:rFonts w:hint="default"/>
        <w:lang w:val="it-IT" w:eastAsia="en-US" w:bidi="ar-SA"/>
      </w:rPr>
    </w:lvl>
    <w:lvl w:ilvl="6" w:tplc="E42859AE">
      <w:numFmt w:val="bullet"/>
      <w:lvlText w:val="•"/>
      <w:lvlJc w:val="left"/>
      <w:pPr>
        <w:ind w:left="6769" w:hanging="140"/>
      </w:pPr>
      <w:rPr>
        <w:rFonts w:hint="default"/>
        <w:lang w:val="it-IT" w:eastAsia="en-US" w:bidi="ar-SA"/>
      </w:rPr>
    </w:lvl>
    <w:lvl w:ilvl="7" w:tplc="C268A1F8">
      <w:numFmt w:val="bullet"/>
      <w:lvlText w:val="•"/>
      <w:lvlJc w:val="left"/>
      <w:pPr>
        <w:ind w:left="7804" w:hanging="140"/>
      </w:pPr>
      <w:rPr>
        <w:rFonts w:hint="default"/>
        <w:lang w:val="it-IT" w:eastAsia="en-US" w:bidi="ar-SA"/>
      </w:rPr>
    </w:lvl>
    <w:lvl w:ilvl="8" w:tplc="4BE4C1C0">
      <w:numFmt w:val="bullet"/>
      <w:lvlText w:val="•"/>
      <w:lvlJc w:val="left"/>
      <w:pPr>
        <w:ind w:left="8839" w:hanging="140"/>
      </w:pPr>
      <w:rPr>
        <w:rFonts w:hint="default"/>
        <w:lang w:val="it-IT" w:eastAsia="en-US" w:bidi="ar-SA"/>
      </w:rPr>
    </w:lvl>
  </w:abstractNum>
  <w:abstractNum w:abstractNumId="40" w15:restartNumberingAfterBreak="0">
    <w:nsid w:val="4D6D08B0"/>
    <w:multiLevelType w:val="hybridMultilevel"/>
    <w:tmpl w:val="16D2FBD0"/>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1" w15:restartNumberingAfterBreak="0">
    <w:nsid w:val="4E653A9F"/>
    <w:multiLevelType w:val="hybridMultilevel"/>
    <w:tmpl w:val="5CC2F64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17E0802"/>
    <w:multiLevelType w:val="hybridMultilevel"/>
    <w:tmpl w:val="EBE443D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29A3628"/>
    <w:multiLevelType w:val="hybridMultilevel"/>
    <w:tmpl w:val="79726C10"/>
    <w:lvl w:ilvl="0" w:tplc="1C008E4A">
      <w:numFmt w:val="bullet"/>
      <w:lvlText w:val="□"/>
      <w:lvlJc w:val="left"/>
      <w:pPr>
        <w:ind w:left="1559" w:hanging="360"/>
      </w:pPr>
      <w:rPr>
        <w:rFonts w:ascii="Lucida Sans Unicode" w:eastAsia="Lucida Sans Unicode" w:hAnsi="Lucida Sans Unicode" w:cs="Lucida Sans Unicode" w:hint="default"/>
        <w:b w:val="0"/>
        <w:bCs w:val="0"/>
        <w:i w:val="0"/>
        <w:iCs w:val="0"/>
        <w:color w:val="221F1F"/>
        <w:spacing w:val="0"/>
        <w:w w:val="75"/>
        <w:sz w:val="24"/>
        <w:szCs w:val="24"/>
        <w:lang w:val="it-IT" w:eastAsia="en-US" w:bidi="ar-SA"/>
      </w:rPr>
    </w:lvl>
    <w:lvl w:ilvl="1" w:tplc="04100003" w:tentative="1">
      <w:start w:val="1"/>
      <w:numFmt w:val="bullet"/>
      <w:lvlText w:val="o"/>
      <w:lvlJc w:val="left"/>
      <w:pPr>
        <w:ind w:left="2279" w:hanging="360"/>
      </w:pPr>
      <w:rPr>
        <w:rFonts w:ascii="Courier New" w:hAnsi="Courier New" w:cs="Courier New" w:hint="default"/>
      </w:rPr>
    </w:lvl>
    <w:lvl w:ilvl="2" w:tplc="04100005" w:tentative="1">
      <w:start w:val="1"/>
      <w:numFmt w:val="bullet"/>
      <w:lvlText w:val=""/>
      <w:lvlJc w:val="left"/>
      <w:pPr>
        <w:ind w:left="2999" w:hanging="360"/>
      </w:pPr>
      <w:rPr>
        <w:rFonts w:ascii="Wingdings" w:hAnsi="Wingdings" w:hint="default"/>
      </w:rPr>
    </w:lvl>
    <w:lvl w:ilvl="3" w:tplc="04100001" w:tentative="1">
      <w:start w:val="1"/>
      <w:numFmt w:val="bullet"/>
      <w:lvlText w:val=""/>
      <w:lvlJc w:val="left"/>
      <w:pPr>
        <w:ind w:left="3719" w:hanging="360"/>
      </w:pPr>
      <w:rPr>
        <w:rFonts w:ascii="Symbol" w:hAnsi="Symbol" w:hint="default"/>
      </w:rPr>
    </w:lvl>
    <w:lvl w:ilvl="4" w:tplc="04100003" w:tentative="1">
      <w:start w:val="1"/>
      <w:numFmt w:val="bullet"/>
      <w:lvlText w:val="o"/>
      <w:lvlJc w:val="left"/>
      <w:pPr>
        <w:ind w:left="4439" w:hanging="360"/>
      </w:pPr>
      <w:rPr>
        <w:rFonts w:ascii="Courier New" w:hAnsi="Courier New" w:cs="Courier New" w:hint="default"/>
      </w:rPr>
    </w:lvl>
    <w:lvl w:ilvl="5" w:tplc="04100005" w:tentative="1">
      <w:start w:val="1"/>
      <w:numFmt w:val="bullet"/>
      <w:lvlText w:val=""/>
      <w:lvlJc w:val="left"/>
      <w:pPr>
        <w:ind w:left="5159" w:hanging="360"/>
      </w:pPr>
      <w:rPr>
        <w:rFonts w:ascii="Wingdings" w:hAnsi="Wingdings" w:hint="default"/>
      </w:rPr>
    </w:lvl>
    <w:lvl w:ilvl="6" w:tplc="04100001" w:tentative="1">
      <w:start w:val="1"/>
      <w:numFmt w:val="bullet"/>
      <w:lvlText w:val=""/>
      <w:lvlJc w:val="left"/>
      <w:pPr>
        <w:ind w:left="5879" w:hanging="360"/>
      </w:pPr>
      <w:rPr>
        <w:rFonts w:ascii="Symbol" w:hAnsi="Symbol" w:hint="default"/>
      </w:rPr>
    </w:lvl>
    <w:lvl w:ilvl="7" w:tplc="04100003" w:tentative="1">
      <w:start w:val="1"/>
      <w:numFmt w:val="bullet"/>
      <w:lvlText w:val="o"/>
      <w:lvlJc w:val="left"/>
      <w:pPr>
        <w:ind w:left="6599" w:hanging="360"/>
      </w:pPr>
      <w:rPr>
        <w:rFonts w:ascii="Courier New" w:hAnsi="Courier New" w:cs="Courier New" w:hint="default"/>
      </w:rPr>
    </w:lvl>
    <w:lvl w:ilvl="8" w:tplc="04100005" w:tentative="1">
      <w:start w:val="1"/>
      <w:numFmt w:val="bullet"/>
      <w:lvlText w:val=""/>
      <w:lvlJc w:val="left"/>
      <w:pPr>
        <w:ind w:left="7319" w:hanging="360"/>
      </w:pPr>
      <w:rPr>
        <w:rFonts w:ascii="Wingdings" w:hAnsi="Wingdings" w:hint="default"/>
      </w:rPr>
    </w:lvl>
  </w:abstractNum>
  <w:abstractNum w:abstractNumId="44" w15:restartNumberingAfterBreak="0">
    <w:nsid w:val="54133774"/>
    <w:multiLevelType w:val="hybridMultilevel"/>
    <w:tmpl w:val="49A46B40"/>
    <w:lvl w:ilvl="0" w:tplc="0C5A5A9E">
      <w:start w:val="1"/>
      <w:numFmt w:val="decimal"/>
      <w:lvlText w:val="%1)"/>
      <w:lvlJc w:val="left"/>
      <w:pPr>
        <w:ind w:left="992" w:hanging="427"/>
      </w:pPr>
      <w:rPr>
        <w:rFonts w:ascii="Garamond" w:eastAsia="Times New Roman" w:hAnsi="Garamond" w:cs="Times New Roman" w:hint="default"/>
        <w:b w:val="0"/>
        <w:bCs w:val="0"/>
        <w:i w:val="0"/>
        <w:iCs w:val="0"/>
        <w:color w:val="221F1F"/>
        <w:spacing w:val="0"/>
        <w:w w:val="100"/>
        <w:sz w:val="24"/>
        <w:szCs w:val="24"/>
        <w:lang w:val="it-IT" w:eastAsia="en-US" w:bidi="ar-SA"/>
      </w:rPr>
    </w:lvl>
    <w:lvl w:ilvl="1" w:tplc="1DCA1360">
      <w:numFmt w:val="bullet"/>
      <w:lvlText w:val="•"/>
      <w:lvlJc w:val="left"/>
      <w:pPr>
        <w:ind w:left="1285" w:hanging="360"/>
      </w:pPr>
      <w:rPr>
        <w:rFonts w:ascii="Lucida Sans Unicode" w:eastAsia="Lucida Sans Unicode" w:hAnsi="Lucida Sans Unicode" w:cs="Lucida Sans Unicode" w:hint="default"/>
        <w:b w:val="0"/>
        <w:bCs w:val="0"/>
        <w:i w:val="0"/>
        <w:iCs w:val="0"/>
        <w:color w:val="221F1F"/>
        <w:spacing w:val="0"/>
        <w:w w:val="72"/>
        <w:sz w:val="24"/>
        <w:szCs w:val="24"/>
        <w:lang w:val="it-IT" w:eastAsia="en-US" w:bidi="ar-SA"/>
      </w:rPr>
    </w:lvl>
    <w:lvl w:ilvl="2" w:tplc="9F54D576">
      <w:numFmt w:val="bullet"/>
      <w:lvlText w:val="•"/>
      <w:lvlJc w:val="left"/>
      <w:pPr>
        <w:ind w:left="2349" w:hanging="360"/>
      </w:pPr>
      <w:rPr>
        <w:rFonts w:hint="default"/>
        <w:lang w:val="it-IT" w:eastAsia="en-US" w:bidi="ar-SA"/>
      </w:rPr>
    </w:lvl>
    <w:lvl w:ilvl="3" w:tplc="927C215C">
      <w:numFmt w:val="bullet"/>
      <w:lvlText w:val="•"/>
      <w:lvlJc w:val="left"/>
      <w:pPr>
        <w:ind w:left="3419" w:hanging="360"/>
      </w:pPr>
      <w:rPr>
        <w:rFonts w:hint="default"/>
        <w:lang w:val="it-IT" w:eastAsia="en-US" w:bidi="ar-SA"/>
      </w:rPr>
    </w:lvl>
    <w:lvl w:ilvl="4" w:tplc="2C7E4988">
      <w:numFmt w:val="bullet"/>
      <w:lvlText w:val="•"/>
      <w:lvlJc w:val="left"/>
      <w:pPr>
        <w:ind w:left="4489" w:hanging="360"/>
      </w:pPr>
      <w:rPr>
        <w:rFonts w:hint="default"/>
        <w:lang w:val="it-IT" w:eastAsia="en-US" w:bidi="ar-SA"/>
      </w:rPr>
    </w:lvl>
    <w:lvl w:ilvl="5" w:tplc="4FE09322">
      <w:numFmt w:val="bullet"/>
      <w:lvlText w:val="•"/>
      <w:lvlJc w:val="left"/>
      <w:pPr>
        <w:ind w:left="5559" w:hanging="360"/>
      </w:pPr>
      <w:rPr>
        <w:rFonts w:hint="default"/>
        <w:lang w:val="it-IT" w:eastAsia="en-US" w:bidi="ar-SA"/>
      </w:rPr>
    </w:lvl>
    <w:lvl w:ilvl="6" w:tplc="166A5EC0">
      <w:numFmt w:val="bullet"/>
      <w:lvlText w:val="•"/>
      <w:lvlJc w:val="left"/>
      <w:pPr>
        <w:ind w:left="6629" w:hanging="360"/>
      </w:pPr>
      <w:rPr>
        <w:rFonts w:hint="default"/>
        <w:lang w:val="it-IT" w:eastAsia="en-US" w:bidi="ar-SA"/>
      </w:rPr>
    </w:lvl>
    <w:lvl w:ilvl="7" w:tplc="716A4A9C">
      <w:numFmt w:val="bullet"/>
      <w:lvlText w:val="•"/>
      <w:lvlJc w:val="left"/>
      <w:pPr>
        <w:ind w:left="7699" w:hanging="360"/>
      </w:pPr>
      <w:rPr>
        <w:rFonts w:hint="default"/>
        <w:lang w:val="it-IT" w:eastAsia="en-US" w:bidi="ar-SA"/>
      </w:rPr>
    </w:lvl>
    <w:lvl w:ilvl="8" w:tplc="951835C6">
      <w:numFmt w:val="bullet"/>
      <w:lvlText w:val="•"/>
      <w:lvlJc w:val="left"/>
      <w:pPr>
        <w:ind w:left="8769" w:hanging="360"/>
      </w:pPr>
      <w:rPr>
        <w:rFonts w:hint="default"/>
        <w:lang w:val="it-IT" w:eastAsia="en-US" w:bidi="ar-SA"/>
      </w:rPr>
    </w:lvl>
  </w:abstractNum>
  <w:abstractNum w:abstractNumId="45" w15:restartNumberingAfterBreak="0">
    <w:nsid w:val="55C82ADE"/>
    <w:multiLevelType w:val="hybridMultilevel"/>
    <w:tmpl w:val="A1AE3E82"/>
    <w:lvl w:ilvl="0" w:tplc="C4FA45E8">
      <w:numFmt w:val="bullet"/>
      <w:lvlText w:val="-"/>
      <w:lvlJc w:val="left"/>
      <w:pPr>
        <w:ind w:left="720" w:hanging="360"/>
      </w:pPr>
      <w:rPr>
        <w:rFonts w:ascii="Arial MT" w:eastAsia="Arial MT" w:hAnsi="Arial MT" w:cs="Arial MT"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567224E6"/>
    <w:multiLevelType w:val="hybridMultilevel"/>
    <w:tmpl w:val="72FE11AA"/>
    <w:lvl w:ilvl="0" w:tplc="1556CE66">
      <w:numFmt w:val="bullet"/>
      <w:lvlText w:val="-"/>
      <w:lvlJc w:val="left"/>
      <w:pPr>
        <w:ind w:left="720" w:hanging="360"/>
      </w:pPr>
      <w:rPr>
        <w:rFonts w:ascii="Times New Roman" w:eastAsia="Times New Roman" w:hAnsi="Times New Roman" w:cs="Times New Roman" w:hint="default"/>
        <w:b w:val="0"/>
        <w:bCs w:val="0"/>
        <w:i w:val="0"/>
        <w:iCs w:val="0"/>
        <w:spacing w:val="0"/>
        <w:w w:val="99"/>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586F70E7"/>
    <w:multiLevelType w:val="hybridMultilevel"/>
    <w:tmpl w:val="4AB45AA4"/>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59EA39A1"/>
    <w:multiLevelType w:val="hybridMultilevel"/>
    <w:tmpl w:val="48EC01DA"/>
    <w:lvl w:ilvl="0" w:tplc="DB609C5A">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5B2E2B19"/>
    <w:multiLevelType w:val="hybridMultilevel"/>
    <w:tmpl w:val="111CD290"/>
    <w:lvl w:ilvl="0" w:tplc="1556CE66">
      <w:numFmt w:val="bullet"/>
      <w:lvlText w:val="-"/>
      <w:lvlJc w:val="left"/>
      <w:pPr>
        <w:ind w:left="720" w:hanging="360"/>
      </w:pPr>
      <w:rPr>
        <w:rFonts w:ascii="Times New Roman" w:eastAsia="Times New Roman" w:hAnsi="Times New Roman" w:cs="Times New Roman" w:hint="default"/>
        <w:b w:val="0"/>
        <w:bCs w:val="0"/>
        <w:i w:val="0"/>
        <w:iCs w:val="0"/>
        <w:spacing w:val="0"/>
        <w:w w:val="99"/>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5B48157F"/>
    <w:multiLevelType w:val="hybridMultilevel"/>
    <w:tmpl w:val="F914FA08"/>
    <w:lvl w:ilvl="0" w:tplc="04100011">
      <w:start w:val="1"/>
      <w:numFmt w:val="decimal"/>
      <w:lvlText w:val="%1)"/>
      <w:lvlJc w:val="left"/>
      <w:pPr>
        <w:ind w:left="720" w:hanging="360"/>
      </w:pPr>
    </w:lvl>
    <w:lvl w:ilvl="1" w:tplc="C988F73C">
      <w:start w:val="1"/>
      <w:numFmt w:val="lowerLetter"/>
      <w:lvlText w:val="%2."/>
      <w:lvlJc w:val="left"/>
      <w:pPr>
        <w:ind w:left="1785" w:hanging="705"/>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5C4C1473"/>
    <w:multiLevelType w:val="hybridMultilevel"/>
    <w:tmpl w:val="15968FAC"/>
    <w:lvl w:ilvl="0" w:tplc="41A0EAA4">
      <w:start w:val="1"/>
      <w:numFmt w:val="decimal"/>
      <w:lvlText w:val="%1)"/>
      <w:lvlJc w:val="left"/>
      <w:pPr>
        <w:ind w:left="839" w:hanging="358"/>
      </w:pPr>
      <w:rPr>
        <w:rFonts w:hint="default"/>
        <w:spacing w:val="0"/>
        <w:w w:val="99"/>
        <w:sz w:val="24"/>
        <w:szCs w:val="24"/>
        <w:lang w:val="it-IT" w:eastAsia="en-US" w:bidi="ar-SA"/>
      </w:rPr>
    </w:lvl>
    <w:lvl w:ilvl="1" w:tplc="8BD25F28">
      <w:numFmt w:val="bullet"/>
      <w:lvlText w:val=""/>
      <w:lvlJc w:val="left"/>
      <w:pPr>
        <w:ind w:left="1202" w:hanging="360"/>
      </w:pPr>
      <w:rPr>
        <w:rFonts w:ascii="Wingdings" w:eastAsia="Wingdings" w:hAnsi="Wingdings" w:cs="Wingdings" w:hint="default"/>
        <w:b w:val="0"/>
        <w:bCs w:val="0"/>
        <w:i w:val="0"/>
        <w:iCs w:val="0"/>
        <w:spacing w:val="0"/>
        <w:w w:val="99"/>
        <w:sz w:val="24"/>
        <w:szCs w:val="24"/>
        <w:lang w:val="it-IT" w:eastAsia="en-US" w:bidi="ar-SA"/>
      </w:rPr>
    </w:lvl>
    <w:lvl w:ilvl="2" w:tplc="0324CB0A">
      <w:numFmt w:val="bullet"/>
      <w:lvlText w:val="•"/>
      <w:lvlJc w:val="left"/>
      <w:pPr>
        <w:ind w:left="2278" w:hanging="360"/>
      </w:pPr>
      <w:rPr>
        <w:rFonts w:hint="default"/>
        <w:lang w:val="it-IT" w:eastAsia="en-US" w:bidi="ar-SA"/>
      </w:rPr>
    </w:lvl>
    <w:lvl w:ilvl="3" w:tplc="BC5E15A0">
      <w:numFmt w:val="bullet"/>
      <w:lvlText w:val="•"/>
      <w:lvlJc w:val="left"/>
      <w:pPr>
        <w:ind w:left="3357" w:hanging="360"/>
      </w:pPr>
      <w:rPr>
        <w:rFonts w:hint="default"/>
        <w:lang w:val="it-IT" w:eastAsia="en-US" w:bidi="ar-SA"/>
      </w:rPr>
    </w:lvl>
    <w:lvl w:ilvl="4" w:tplc="FC469F2A">
      <w:numFmt w:val="bullet"/>
      <w:lvlText w:val="•"/>
      <w:lvlJc w:val="left"/>
      <w:pPr>
        <w:ind w:left="4436" w:hanging="360"/>
      </w:pPr>
      <w:rPr>
        <w:rFonts w:hint="default"/>
        <w:lang w:val="it-IT" w:eastAsia="en-US" w:bidi="ar-SA"/>
      </w:rPr>
    </w:lvl>
    <w:lvl w:ilvl="5" w:tplc="7C286CB6">
      <w:numFmt w:val="bullet"/>
      <w:lvlText w:val="•"/>
      <w:lvlJc w:val="left"/>
      <w:pPr>
        <w:ind w:left="5515" w:hanging="360"/>
      </w:pPr>
      <w:rPr>
        <w:rFonts w:hint="default"/>
        <w:lang w:val="it-IT" w:eastAsia="en-US" w:bidi="ar-SA"/>
      </w:rPr>
    </w:lvl>
    <w:lvl w:ilvl="6" w:tplc="E362B8DA">
      <w:numFmt w:val="bullet"/>
      <w:lvlText w:val="•"/>
      <w:lvlJc w:val="left"/>
      <w:pPr>
        <w:ind w:left="6593" w:hanging="360"/>
      </w:pPr>
      <w:rPr>
        <w:rFonts w:hint="default"/>
        <w:lang w:val="it-IT" w:eastAsia="en-US" w:bidi="ar-SA"/>
      </w:rPr>
    </w:lvl>
    <w:lvl w:ilvl="7" w:tplc="12BAE1BE">
      <w:numFmt w:val="bullet"/>
      <w:lvlText w:val="•"/>
      <w:lvlJc w:val="left"/>
      <w:pPr>
        <w:ind w:left="7672" w:hanging="360"/>
      </w:pPr>
      <w:rPr>
        <w:rFonts w:hint="default"/>
        <w:lang w:val="it-IT" w:eastAsia="en-US" w:bidi="ar-SA"/>
      </w:rPr>
    </w:lvl>
    <w:lvl w:ilvl="8" w:tplc="C4F8E0AA">
      <w:numFmt w:val="bullet"/>
      <w:lvlText w:val="•"/>
      <w:lvlJc w:val="left"/>
      <w:pPr>
        <w:ind w:left="8751" w:hanging="360"/>
      </w:pPr>
      <w:rPr>
        <w:rFonts w:hint="default"/>
        <w:lang w:val="it-IT" w:eastAsia="en-US" w:bidi="ar-SA"/>
      </w:rPr>
    </w:lvl>
  </w:abstractNum>
  <w:abstractNum w:abstractNumId="52" w15:restartNumberingAfterBreak="0">
    <w:nsid w:val="5F4C1FD5"/>
    <w:multiLevelType w:val="hybridMultilevel"/>
    <w:tmpl w:val="D402FE74"/>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60BB25DF"/>
    <w:multiLevelType w:val="hybridMultilevel"/>
    <w:tmpl w:val="3E5A545C"/>
    <w:lvl w:ilvl="0" w:tplc="1C008E4A">
      <w:numFmt w:val="bullet"/>
      <w:lvlText w:val="□"/>
      <w:lvlJc w:val="left"/>
      <w:pPr>
        <w:ind w:left="1440" w:hanging="360"/>
      </w:pPr>
      <w:rPr>
        <w:rFonts w:ascii="Lucida Sans Unicode" w:eastAsia="Lucida Sans Unicode" w:hAnsi="Lucida Sans Unicode" w:cs="Lucida Sans Unicode" w:hint="default"/>
        <w:b w:val="0"/>
        <w:bCs w:val="0"/>
        <w:i w:val="0"/>
        <w:iCs w:val="0"/>
        <w:color w:val="221F1F"/>
        <w:spacing w:val="0"/>
        <w:w w:val="75"/>
        <w:sz w:val="24"/>
        <w:szCs w:val="24"/>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4" w15:restartNumberingAfterBreak="0">
    <w:nsid w:val="61875349"/>
    <w:multiLevelType w:val="hybridMultilevel"/>
    <w:tmpl w:val="A4106C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6207609A"/>
    <w:multiLevelType w:val="hybridMultilevel"/>
    <w:tmpl w:val="7F2E924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626F7CD2"/>
    <w:multiLevelType w:val="hybridMultilevel"/>
    <w:tmpl w:val="913889CC"/>
    <w:lvl w:ilvl="0" w:tplc="1556CE66">
      <w:numFmt w:val="bullet"/>
      <w:lvlText w:val="-"/>
      <w:lvlJc w:val="left"/>
      <w:pPr>
        <w:ind w:left="720" w:hanging="360"/>
      </w:pPr>
      <w:rPr>
        <w:rFonts w:ascii="Times New Roman" w:eastAsia="Times New Roman" w:hAnsi="Times New Roman" w:cs="Times New Roman" w:hint="default"/>
        <w:b w:val="0"/>
        <w:bCs w:val="0"/>
        <w:i w:val="0"/>
        <w:iCs w:val="0"/>
        <w:spacing w:val="0"/>
        <w:w w:val="99"/>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650C3FC1"/>
    <w:multiLevelType w:val="hybridMultilevel"/>
    <w:tmpl w:val="36640E58"/>
    <w:lvl w:ilvl="0" w:tplc="C4FA45E8">
      <w:numFmt w:val="bullet"/>
      <w:lvlText w:val="-"/>
      <w:lvlJc w:val="left"/>
      <w:pPr>
        <w:ind w:left="1148" w:hanging="360"/>
      </w:pPr>
      <w:rPr>
        <w:rFonts w:ascii="Arial MT" w:eastAsia="Arial MT" w:hAnsi="Arial MT" w:cs="Arial MT" w:hint="default"/>
        <w:b w:val="0"/>
        <w:bCs w:val="0"/>
        <w:i w:val="0"/>
        <w:iCs w:val="0"/>
        <w:spacing w:val="0"/>
        <w:w w:val="100"/>
        <w:sz w:val="22"/>
        <w:szCs w:val="22"/>
        <w:lang w:val="it-IT" w:eastAsia="en-US" w:bidi="ar-SA"/>
      </w:rPr>
    </w:lvl>
    <w:lvl w:ilvl="1" w:tplc="04100003" w:tentative="1">
      <w:start w:val="1"/>
      <w:numFmt w:val="bullet"/>
      <w:lvlText w:val="o"/>
      <w:lvlJc w:val="left"/>
      <w:pPr>
        <w:ind w:left="1868" w:hanging="360"/>
      </w:pPr>
      <w:rPr>
        <w:rFonts w:ascii="Courier New" w:hAnsi="Courier New" w:cs="Courier New" w:hint="default"/>
      </w:rPr>
    </w:lvl>
    <w:lvl w:ilvl="2" w:tplc="04100005" w:tentative="1">
      <w:start w:val="1"/>
      <w:numFmt w:val="bullet"/>
      <w:lvlText w:val=""/>
      <w:lvlJc w:val="left"/>
      <w:pPr>
        <w:ind w:left="2588" w:hanging="360"/>
      </w:pPr>
      <w:rPr>
        <w:rFonts w:ascii="Wingdings" w:hAnsi="Wingdings" w:hint="default"/>
      </w:rPr>
    </w:lvl>
    <w:lvl w:ilvl="3" w:tplc="04100001" w:tentative="1">
      <w:start w:val="1"/>
      <w:numFmt w:val="bullet"/>
      <w:lvlText w:val=""/>
      <w:lvlJc w:val="left"/>
      <w:pPr>
        <w:ind w:left="3308" w:hanging="360"/>
      </w:pPr>
      <w:rPr>
        <w:rFonts w:ascii="Symbol" w:hAnsi="Symbol" w:hint="default"/>
      </w:rPr>
    </w:lvl>
    <w:lvl w:ilvl="4" w:tplc="04100003" w:tentative="1">
      <w:start w:val="1"/>
      <w:numFmt w:val="bullet"/>
      <w:lvlText w:val="o"/>
      <w:lvlJc w:val="left"/>
      <w:pPr>
        <w:ind w:left="4028" w:hanging="360"/>
      </w:pPr>
      <w:rPr>
        <w:rFonts w:ascii="Courier New" w:hAnsi="Courier New" w:cs="Courier New" w:hint="default"/>
      </w:rPr>
    </w:lvl>
    <w:lvl w:ilvl="5" w:tplc="04100005" w:tentative="1">
      <w:start w:val="1"/>
      <w:numFmt w:val="bullet"/>
      <w:lvlText w:val=""/>
      <w:lvlJc w:val="left"/>
      <w:pPr>
        <w:ind w:left="4748" w:hanging="360"/>
      </w:pPr>
      <w:rPr>
        <w:rFonts w:ascii="Wingdings" w:hAnsi="Wingdings" w:hint="default"/>
      </w:rPr>
    </w:lvl>
    <w:lvl w:ilvl="6" w:tplc="04100001" w:tentative="1">
      <w:start w:val="1"/>
      <w:numFmt w:val="bullet"/>
      <w:lvlText w:val=""/>
      <w:lvlJc w:val="left"/>
      <w:pPr>
        <w:ind w:left="5468" w:hanging="360"/>
      </w:pPr>
      <w:rPr>
        <w:rFonts w:ascii="Symbol" w:hAnsi="Symbol" w:hint="default"/>
      </w:rPr>
    </w:lvl>
    <w:lvl w:ilvl="7" w:tplc="04100003" w:tentative="1">
      <w:start w:val="1"/>
      <w:numFmt w:val="bullet"/>
      <w:lvlText w:val="o"/>
      <w:lvlJc w:val="left"/>
      <w:pPr>
        <w:ind w:left="6188" w:hanging="360"/>
      </w:pPr>
      <w:rPr>
        <w:rFonts w:ascii="Courier New" w:hAnsi="Courier New" w:cs="Courier New" w:hint="default"/>
      </w:rPr>
    </w:lvl>
    <w:lvl w:ilvl="8" w:tplc="04100005" w:tentative="1">
      <w:start w:val="1"/>
      <w:numFmt w:val="bullet"/>
      <w:lvlText w:val=""/>
      <w:lvlJc w:val="left"/>
      <w:pPr>
        <w:ind w:left="6908" w:hanging="360"/>
      </w:pPr>
      <w:rPr>
        <w:rFonts w:ascii="Wingdings" w:hAnsi="Wingdings" w:hint="default"/>
      </w:rPr>
    </w:lvl>
  </w:abstractNum>
  <w:abstractNum w:abstractNumId="58" w15:restartNumberingAfterBreak="0">
    <w:nsid w:val="6E2F4139"/>
    <w:multiLevelType w:val="hybridMultilevel"/>
    <w:tmpl w:val="61CEB654"/>
    <w:lvl w:ilvl="0" w:tplc="B7244DAE">
      <w:start w:val="5"/>
      <w:numFmt w:val="decimal"/>
      <w:lvlText w:val="%1."/>
      <w:lvlJc w:val="left"/>
      <w:pPr>
        <w:ind w:left="720" w:hanging="360"/>
      </w:pPr>
      <w:rPr>
        <w:rFonts w:eastAsia="Microsoft YaHei U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6FE86CE7"/>
    <w:multiLevelType w:val="hybridMultilevel"/>
    <w:tmpl w:val="318C4530"/>
    <w:lvl w:ilvl="0" w:tplc="A1CA5B1A">
      <w:numFmt w:val="bullet"/>
      <w:lvlText w:val=""/>
      <w:lvlJc w:val="left"/>
      <w:pPr>
        <w:ind w:left="765" w:hanging="284"/>
      </w:pPr>
      <w:rPr>
        <w:rFonts w:ascii="Wingdings" w:eastAsia="Wingdings" w:hAnsi="Wingdings" w:cs="Wingdings" w:hint="default"/>
        <w:b w:val="0"/>
        <w:bCs w:val="0"/>
        <w:i w:val="0"/>
        <w:iCs w:val="0"/>
        <w:spacing w:val="0"/>
        <w:w w:val="99"/>
        <w:sz w:val="24"/>
        <w:szCs w:val="24"/>
        <w:lang w:val="it-IT" w:eastAsia="en-US" w:bidi="ar-SA"/>
      </w:rPr>
    </w:lvl>
    <w:lvl w:ilvl="1" w:tplc="8B84EBB8">
      <w:numFmt w:val="bullet"/>
      <w:lvlText w:val=""/>
      <w:lvlJc w:val="left"/>
      <w:pPr>
        <w:ind w:left="1202" w:hanging="360"/>
      </w:pPr>
      <w:rPr>
        <w:rFonts w:ascii="Symbol" w:eastAsia="Symbol" w:hAnsi="Symbol" w:cs="Symbol" w:hint="default"/>
        <w:b w:val="0"/>
        <w:bCs w:val="0"/>
        <w:i w:val="0"/>
        <w:iCs w:val="0"/>
        <w:spacing w:val="0"/>
        <w:w w:val="99"/>
        <w:sz w:val="24"/>
        <w:szCs w:val="24"/>
        <w:lang w:val="it-IT" w:eastAsia="en-US" w:bidi="ar-SA"/>
      </w:rPr>
    </w:lvl>
    <w:lvl w:ilvl="2" w:tplc="70668FC2">
      <w:numFmt w:val="bullet"/>
      <w:lvlText w:val="•"/>
      <w:lvlJc w:val="left"/>
      <w:pPr>
        <w:ind w:left="2278" w:hanging="360"/>
      </w:pPr>
      <w:rPr>
        <w:rFonts w:hint="default"/>
        <w:lang w:val="it-IT" w:eastAsia="en-US" w:bidi="ar-SA"/>
      </w:rPr>
    </w:lvl>
    <w:lvl w:ilvl="3" w:tplc="9676BA22">
      <w:numFmt w:val="bullet"/>
      <w:lvlText w:val="•"/>
      <w:lvlJc w:val="left"/>
      <w:pPr>
        <w:ind w:left="3357" w:hanging="360"/>
      </w:pPr>
      <w:rPr>
        <w:rFonts w:hint="default"/>
        <w:lang w:val="it-IT" w:eastAsia="en-US" w:bidi="ar-SA"/>
      </w:rPr>
    </w:lvl>
    <w:lvl w:ilvl="4" w:tplc="42261A52">
      <w:numFmt w:val="bullet"/>
      <w:lvlText w:val="•"/>
      <w:lvlJc w:val="left"/>
      <w:pPr>
        <w:ind w:left="4436" w:hanging="360"/>
      </w:pPr>
      <w:rPr>
        <w:rFonts w:hint="default"/>
        <w:lang w:val="it-IT" w:eastAsia="en-US" w:bidi="ar-SA"/>
      </w:rPr>
    </w:lvl>
    <w:lvl w:ilvl="5" w:tplc="238C3B16">
      <w:numFmt w:val="bullet"/>
      <w:lvlText w:val="•"/>
      <w:lvlJc w:val="left"/>
      <w:pPr>
        <w:ind w:left="5515" w:hanging="360"/>
      </w:pPr>
      <w:rPr>
        <w:rFonts w:hint="default"/>
        <w:lang w:val="it-IT" w:eastAsia="en-US" w:bidi="ar-SA"/>
      </w:rPr>
    </w:lvl>
    <w:lvl w:ilvl="6" w:tplc="3954D9A8">
      <w:numFmt w:val="bullet"/>
      <w:lvlText w:val="•"/>
      <w:lvlJc w:val="left"/>
      <w:pPr>
        <w:ind w:left="6593" w:hanging="360"/>
      </w:pPr>
      <w:rPr>
        <w:rFonts w:hint="default"/>
        <w:lang w:val="it-IT" w:eastAsia="en-US" w:bidi="ar-SA"/>
      </w:rPr>
    </w:lvl>
    <w:lvl w:ilvl="7" w:tplc="A7B8DC62">
      <w:numFmt w:val="bullet"/>
      <w:lvlText w:val="•"/>
      <w:lvlJc w:val="left"/>
      <w:pPr>
        <w:ind w:left="7672" w:hanging="360"/>
      </w:pPr>
      <w:rPr>
        <w:rFonts w:hint="default"/>
        <w:lang w:val="it-IT" w:eastAsia="en-US" w:bidi="ar-SA"/>
      </w:rPr>
    </w:lvl>
    <w:lvl w:ilvl="8" w:tplc="1E423C52">
      <w:numFmt w:val="bullet"/>
      <w:lvlText w:val="•"/>
      <w:lvlJc w:val="left"/>
      <w:pPr>
        <w:ind w:left="8751" w:hanging="360"/>
      </w:pPr>
      <w:rPr>
        <w:rFonts w:hint="default"/>
        <w:lang w:val="it-IT" w:eastAsia="en-US" w:bidi="ar-SA"/>
      </w:rPr>
    </w:lvl>
  </w:abstractNum>
  <w:abstractNum w:abstractNumId="60" w15:restartNumberingAfterBreak="0">
    <w:nsid w:val="6FF56B24"/>
    <w:multiLevelType w:val="hybridMultilevel"/>
    <w:tmpl w:val="49164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7373415C"/>
    <w:multiLevelType w:val="hybridMultilevel"/>
    <w:tmpl w:val="62722D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74553439"/>
    <w:multiLevelType w:val="hybridMultilevel"/>
    <w:tmpl w:val="7E7E3EC0"/>
    <w:lvl w:ilvl="0" w:tplc="596A9C2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74E7203B"/>
    <w:multiLevelType w:val="hybridMultilevel"/>
    <w:tmpl w:val="5A0E57F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75516B71"/>
    <w:multiLevelType w:val="hybridMultilevel"/>
    <w:tmpl w:val="4D0E79D0"/>
    <w:lvl w:ilvl="0" w:tplc="596A9C2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773C1827"/>
    <w:multiLevelType w:val="hybridMultilevel"/>
    <w:tmpl w:val="708652C4"/>
    <w:lvl w:ilvl="0" w:tplc="4F34FF9A">
      <w:numFmt w:val="bullet"/>
      <w:lvlText w:val="•"/>
      <w:lvlJc w:val="left"/>
      <w:pPr>
        <w:ind w:left="1559" w:hanging="360"/>
      </w:pPr>
      <w:rPr>
        <w:rFonts w:ascii="New Aster LT Std" w:eastAsia="New Aster LT Std" w:hAnsi="New Aster LT Std" w:cs="New Aster LT Std" w:hint="default"/>
        <w:b w:val="0"/>
        <w:bCs w:val="0"/>
        <w:i/>
        <w:iCs/>
        <w:w w:val="100"/>
        <w:sz w:val="19"/>
        <w:szCs w:val="19"/>
        <w:lang w:val="it-IT" w:eastAsia="en-US" w:bidi="ar-SA"/>
      </w:rPr>
    </w:lvl>
    <w:lvl w:ilvl="1" w:tplc="04100003" w:tentative="1">
      <w:start w:val="1"/>
      <w:numFmt w:val="bullet"/>
      <w:lvlText w:val="o"/>
      <w:lvlJc w:val="left"/>
      <w:pPr>
        <w:ind w:left="2279" w:hanging="360"/>
      </w:pPr>
      <w:rPr>
        <w:rFonts w:ascii="Courier New" w:hAnsi="Courier New" w:cs="Courier New" w:hint="default"/>
      </w:rPr>
    </w:lvl>
    <w:lvl w:ilvl="2" w:tplc="04100005" w:tentative="1">
      <w:start w:val="1"/>
      <w:numFmt w:val="bullet"/>
      <w:lvlText w:val=""/>
      <w:lvlJc w:val="left"/>
      <w:pPr>
        <w:ind w:left="2999" w:hanging="360"/>
      </w:pPr>
      <w:rPr>
        <w:rFonts w:ascii="Wingdings" w:hAnsi="Wingdings" w:hint="default"/>
      </w:rPr>
    </w:lvl>
    <w:lvl w:ilvl="3" w:tplc="04100001" w:tentative="1">
      <w:start w:val="1"/>
      <w:numFmt w:val="bullet"/>
      <w:lvlText w:val=""/>
      <w:lvlJc w:val="left"/>
      <w:pPr>
        <w:ind w:left="3719" w:hanging="360"/>
      </w:pPr>
      <w:rPr>
        <w:rFonts w:ascii="Symbol" w:hAnsi="Symbol" w:hint="default"/>
      </w:rPr>
    </w:lvl>
    <w:lvl w:ilvl="4" w:tplc="04100003" w:tentative="1">
      <w:start w:val="1"/>
      <w:numFmt w:val="bullet"/>
      <w:lvlText w:val="o"/>
      <w:lvlJc w:val="left"/>
      <w:pPr>
        <w:ind w:left="4439" w:hanging="360"/>
      </w:pPr>
      <w:rPr>
        <w:rFonts w:ascii="Courier New" w:hAnsi="Courier New" w:cs="Courier New" w:hint="default"/>
      </w:rPr>
    </w:lvl>
    <w:lvl w:ilvl="5" w:tplc="04100005" w:tentative="1">
      <w:start w:val="1"/>
      <w:numFmt w:val="bullet"/>
      <w:lvlText w:val=""/>
      <w:lvlJc w:val="left"/>
      <w:pPr>
        <w:ind w:left="5159" w:hanging="360"/>
      </w:pPr>
      <w:rPr>
        <w:rFonts w:ascii="Wingdings" w:hAnsi="Wingdings" w:hint="default"/>
      </w:rPr>
    </w:lvl>
    <w:lvl w:ilvl="6" w:tplc="04100001" w:tentative="1">
      <w:start w:val="1"/>
      <w:numFmt w:val="bullet"/>
      <w:lvlText w:val=""/>
      <w:lvlJc w:val="left"/>
      <w:pPr>
        <w:ind w:left="5879" w:hanging="360"/>
      </w:pPr>
      <w:rPr>
        <w:rFonts w:ascii="Symbol" w:hAnsi="Symbol" w:hint="default"/>
      </w:rPr>
    </w:lvl>
    <w:lvl w:ilvl="7" w:tplc="04100003" w:tentative="1">
      <w:start w:val="1"/>
      <w:numFmt w:val="bullet"/>
      <w:lvlText w:val="o"/>
      <w:lvlJc w:val="left"/>
      <w:pPr>
        <w:ind w:left="6599" w:hanging="360"/>
      </w:pPr>
      <w:rPr>
        <w:rFonts w:ascii="Courier New" w:hAnsi="Courier New" w:cs="Courier New" w:hint="default"/>
      </w:rPr>
    </w:lvl>
    <w:lvl w:ilvl="8" w:tplc="04100005" w:tentative="1">
      <w:start w:val="1"/>
      <w:numFmt w:val="bullet"/>
      <w:lvlText w:val=""/>
      <w:lvlJc w:val="left"/>
      <w:pPr>
        <w:ind w:left="7319" w:hanging="360"/>
      </w:pPr>
      <w:rPr>
        <w:rFonts w:ascii="Wingdings" w:hAnsi="Wingdings" w:hint="default"/>
      </w:rPr>
    </w:lvl>
  </w:abstractNum>
  <w:abstractNum w:abstractNumId="66" w15:restartNumberingAfterBreak="0">
    <w:nsid w:val="79FD2500"/>
    <w:multiLevelType w:val="hybridMultilevel"/>
    <w:tmpl w:val="34C6056E"/>
    <w:lvl w:ilvl="0" w:tplc="596A9C2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7B791774"/>
    <w:multiLevelType w:val="hybridMultilevel"/>
    <w:tmpl w:val="02B8B22E"/>
    <w:lvl w:ilvl="0" w:tplc="1556CE66">
      <w:numFmt w:val="bullet"/>
      <w:lvlText w:val="-"/>
      <w:lvlJc w:val="left"/>
      <w:pPr>
        <w:ind w:left="720" w:hanging="360"/>
      </w:pPr>
      <w:rPr>
        <w:rFonts w:ascii="Times New Roman" w:eastAsia="Times New Roman" w:hAnsi="Times New Roman" w:cs="Times New Roman" w:hint="default"/>
        <w:b w:val="0"/>
        <w:bCs w:val="0"/>
        <w:i w:val="0"/>
        <w:iCs w:val="0"/>
        <w:spacing w:val="0"/>
        <w:w w:val="99"/>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7CC8521D"/>
    <w:multiLevelType w:val="hybridMultilevel"/>
    <w:tmpl w:val="CE00760A"/>
    <w:lvl w:ilvl="0" w:tplc="1556CE66">
      <w:numFmt w:val="bullet"/>
      <w:lvlText w:val="-"/>
      <w:lvlJc w:val="left"/>
      <w:pPr>
        <w:ind w:left="720" w:hanging="360"/>
      </w:pPr>
      <w:rPr>
        <w:rFonts w:ascii="Times New Roman" w:eastAsia="Times New Roman" w:hAnsi="Times New Roman" w:cs="Times New Roman" w:hint="default"/>
        <w:b w:val="0"/>
        <w:bCs w:val="0"/>
        <w:i w:val="0"/>
        <w:iCs w:val="0"/>
        <w:spacing w:val="0"/>
        <w:w w:val="99"/>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7FA939ED"/>
    <w:multiLevelType w:val="hybridMultilevel"/>
    <w:tmpl w:val="0A48AF40"/>
    <w:lvl w:ilvl="0" w:tplc="DDF24F94">
      <w:start w:val="1"/>
      <w:numFmt w:val="decimal"/>
      <w:lvlText w:val="%1."/>
      <w:lvlJc w:val="left"/>
      <w:pPr>
        <w:ind w:left="992" w:hanging="286"/>
      </w:pPr>
      <w:rPr>
        <w:rFonts w:ascii="Times New Roman" w:eastAsia="Times New Roman" w:hAnsi="Times New Roman" w:cs="Times New Roman" w:hint="default"/>
        <w:b w:val="0"/>
        <w:bCs w:val="0"/>
        <w:i w:val="0"/>
        <w:iCs w:val="0"/>
        <w:color w:val="221F1F"/>
        <w:spacing w:val="0"/>
        <w:w w:val="100"/>
        <w:sz w:val="24"/>
        <w:szCs w:val="24"/>
        <w:lang w:val="it-IT" w:eastAsia="en-US" w:bidi="ar-SA"/>
      </w:rPr>
    </w:lvl>
    <w:lvl w:ilvl="1" w:tplc="581486A4">
      <w:numFmt w:val="bullet"/>
      <w:lvlText w:val="•"/>
      <w:lvlJc w:val="left"/>
      <w:pPr>
        <w:ind w:left="1990" w:hanging="286"/>
      </w:pPr>
      <w:rPr>
        <w:rFonts w:hint="default"/>
        <w:lang w:val="it-IT" w:eastAsia="en-US" w:bidi="ar-SA"/>
      </w:rPr>
    </w:lvl>
    <w:lvl w:ilvl="2" w:tplc="AF0A98D2">
      <w:numFmt w:val="bullet"/>
      <w:lvlText w:val="•"/>
      <w:lvlJc w:val="left"/>
      <w:pPr>
        <w:ind w:left="2981" w:hanging="286"/>
      </w:pPr>
      <w:rPr>
        <w:rFonts w:hint="default"/>
        <w:lang w:val="it-IT" w:eastAsia="en-US" w:bidi="ar-SA"/>
      </w:rPr>
    </w:lvl>
    <w:lvl w:ilvl="3" w:tplc="3F423B46">
      <w:numFmt w:val="bullet"/>
      <w:lvlText w:val="•"/>
      <w:lvlJc w:val="left"/>
      <w:pPr>
        <w:ind w:left="3972" w:hanging="286"/>
      </w:pPr>
      <w:rPr>
        <w:rFonts w:hint="default"/>
        <w:lang w:val="it-IT" w:eastAsia="en-US" w:bidi="ar-SA"/>
      </w:rPr>
    </w:lvl>
    <w:lvl w:ilvl="4" w:tplc="4A30A55C">
      <w:numFmt w:val="bullet"/>
      <w:lvlText w:val="•"/>
      <w:lvlJc w:val="left"/>
      <w:pPr>
        <w:ind w:left="4963" w:hanging="286"/>
      </w:pPr>
      <w:rPr>
        <w:rFonts w:hint="default"/>
        <w:lang w:val="it-IT" w:eastAsia="en-US" w:bidi="ar-SA"/>
      </w:rPr>
    </w:lvl>
    <w:lvl w:ilvl="5" w:tplc="6EB80DA8">
      <w:numFmt w:val="bullet"/>
      <w:lvlText w:val="•"/>
      <w:lvlJc w:val="left"/>
      <w:pPr>
        <w:ind w:left="5954" w:hanging="286"/>
      </w:pPr>
      <w:rPr>
        <w:rFonts w:hint="default"/>
        <w:lang w:val="it-IT" w:eastAsia="en-US" w:bidi="ar-SA"/>
      </w:rPr>
    </w:lvl>
    <w:lvl w:ilvl="6" w:tplc="5C905400">
      <w:numFmt w:val="bullet"/>
      <w:lvlText w:val="•"/>
      <w:lvlJc w:val="left"/>
      <w:pPr>
        <w:ind w:left="6945" w:hanging="286"/>
      </w:pPr>
      <w:rPr>
        <w:rFonts w:hint="default"/>
        <w:lang w:val="it-IT" w:eastAsia="en-US" w:bidi="ar-SA"/>
      </w:rPr>
    </w:lvl>
    <w:lvl w:ilvl="7" w:tplc="D9DAFD96">
      <w:numFmt w:val="bullet"/>
      <w:lvlText w:val="•"/>
      <w:lvlJc w:val="left"/>
      <w:pPr>
        <w:ind w:left="7936" w:hanging="286"/>
      </w:pPr>
      <w:rPr>
        <w:rFonts w:hint="default"/>
        <w:lang w:val="it-IT" w:eastAsia="en-US" w:bidi="ar-SA"/>
      </w:rPr>
    </w:lvl>
    <w:lvl w:ilvl="8" w:tplc="EB3AA1D2">
      <w:numFmt w:val="bullet"/>
      <w:lvlText w:val="•"/>
      <w:lvlJc w:val="left"/>
      <w:pPr>
        <w:ind w:left="8927" w:hanging="286"/>
      </w:pPr>
      <w:rPr>
        <w:rFonts w:hint="default"/>
        <w:lang w:val="it-IT" w:eastAsia="en-US" w:bidi="ar-SA"/>
      </w:rPr>
    </w:lvl>
  </w:abstractNum>
  <w:abstractNum w:abstractNumId="70" w15:restartNumberingAfterBreak="0">
    <w:nsid w:val="7FC03F14"/>
    <w:multiLevelType w:val="hybridMultilevel"/>
    <w:tmpl w:val="363268D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7FC635A4"/>
    <w:multiLevelType w:val="hybridMultilevel"/>
    <w:tmpl w:val="8D3A8CBE"/>
    <w:lvl w:ilvl="0" w:tplc="FFFFFFFF">
      <w:start w:val="1"/>
      <w:numFmt w:val="decimal"/>
      <w:lvlText w:val="%1)"/>
      <w:lvlJc w:val="left"/>
      <w:pPr>
        <w:ind w:left="720" w:hanging="360"/>
      </w:pPr>
    </w:lvl>
    <w:lvl w:ilvl="1" w:tplc="0410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43377283">
    <w:abstractNumId w:val="22"/>
  </w:num>
  <w:num w:numId="2" w16cid:durableId="1568146695">
    <w:abstractNumId w:val="3"/>
  </w:num>
  <w:num w:numId="3" w16cid:durableId="352463222">
    <w:abstractNumId w:val="16"/>
  </w:num>
  <w:num w:numId="4" w16cid:durableId="11273725">
    <w:abstractNumId w:val="26"/>
  </w:num>
  <w:num w:numId="5" w16cid:durableId="84542141">
    <w:abstractNumId w:val="27"/>
  </w:num>
  <w:num w:numId="6" w16cid:durableId="1198930690">
    <w:abstractNumId w:val="31"/>
  </w:num>
  <w:num w:numId="7" w16cid:durableId="1997033602">
    <w:abstractNumId w:val="29"/>
  </w:num>
  <w:num w:numId="8" w16cid:durableId="938223883">
    <w:abstractNumId w:val="44"/>
  </w:num>
  <w:num w:numId="9" w16cid:durableId="955792237">
    <w:abstractNumId w:val="69"/>
  </w:num>
  <w:num w:numId="10" w16cid:durableId="1746030412">
    <w:abstractNumId w:val="58"/>
  </w:num>
  <w:num w:numId="11" w16cid:durableId="1052921089">
    <w:abstractNumId w:val="64"/>
  </w:num>
  <w:num w:numId="12" w16cid:durableId="376201723">
    <w:abstractNumId w:val="20"/>
  </w:num>
  <w:num w:numId="13" w16cid:durableId="892235807">
    <w:abstractNumId w:val="24"/>
  </w:num>
  <w:num w:numId="14" w16cid:durableId="662704571">
    <w:abstractNumId w:val="54"/>
  </w:num>
  <w:num w:numId="15" w16cid:durableId="1145077402">
    <w:abstractNumId w:val="32"/>
  </w:num>
  <w:num w:numId="16" w16cid:durableId="24405120">
    <w:abstractNumId w:val="41"/>
  </w:num>
  <w:num w:numId="17" w16cid:durableId="1664619707">
    <w:abstractNumId w:val="62"/>
  </w:num>
  <w:num w:numId="18" w16cid:durableId="1576084908">
    <w:abstractNumId w:val="66"/>
  </w:num>
  <w:num w:numId="19" w16cid:durableId="1315796268">
    <w:abstractNumId w:val="50"/>
  </w:num>
  <w:num w:numId="20" w16cid:durableId="1988708750">
    <w:abstractNumId w:val="12"/>
  </w:num>
  <w:num w:numId="21" w16cid:durableId="146557544">
    <w:abstractNumId w:val="39"/>
  </w:num>
  <w:num w:numId="22" w16cid:durableId="1851874706">
    <w:abstractNumId w:val="68"/>
  </w:num>
  <w:num w:numId="23" w16cid:durableId="893393002">
    <w:abstractNumId w:val="49"/>
  </w:num>
  <w:num w:numId="24" w16cid:durableId="760295054">
    <w:abstractNumId w:val="35"/>
  </w:num>
  <w:num w:numId="25" w16cid:durableId="623773412">
    <w:abstractNumId w:val="67"/>
  </w:num>
  <w:num w:numId="26" w16cid:durableId="690378327">
    <w:abstractNumId w:val="15"/>
  </w:num>
  <w:num w:numId="27" w16cid:durableId="1691099185">
    <w:abstractNumId w:val="33"/>
  </w:num>
  <w:num w:numId="28" w16cid:durableId="314338977">
    <w:abstractNumId w:val="47"/>
  </w:num>
  <w:num w:numId="29" w16cid:durableId="833227197">
    <w:abstractNumId w:val="48"/>
  </w:num>
  <w:num w:numId="30" w16cid:durableId="307052738">
    <w:abstractNumId w:val="0"/>
  </w:num>
  <w:num w:numId="31" w16cid:durableId="906963621">
    <w:abstractNumId w:val="19"/>
  </w:num>
  <w:num w:numId="32" w16cid:durableId="584581865">
    <w:abstractNumId w:val="42"/>
  </w:num>
  <w:num w:numId="33" w16cid:durableId="495925807">
    <w:abstractNumId w:val="52"/>
  </w:num>
  <w:num w:numId="34" w16cid:durableId="1719283311">
    <w:abstractNumId w:val="5"/>
  </w:num>
  <w:num w:numId="35" w16cid:durableId="1736930249">
    <w:abstractNumId w:val="37"/>
  </w:num>
  <w:num w:numId="36" w16cid:durableId="97917056">
    <w:abstractNumId w:val="14"/>
  </w:num>
  <w:num w:numId="37" w16cid:durableId="32852801">
    <w:abstractNumId w:val="71"/>
  </w:num>
  <w:num w:numId="38" w16cid:durableId="954403949">
    <w:abstractNumId w:val="46"/>
  </w:num>
  <w:num w:numId="39" w16cid:durableId="1534151416">
    <w:abstractNumId w:val="36"/>
  </w:num>
  <w:num w:numId="40" w16cid:durableId="1732731769">
    <w:abstractNumId w:val="55"/>
  </w:num>
  <w:num w:numId="41" w16cid:durableId="726075081">
    <w:abstractNumId w:val="63"/>
  </w:num>
  <w:num w:numId="42" w16cid:durableId="55444516">
    <w:abstractNumId w:val="2"/>
  </w:num>
  <w:num w:numId="43" w16cid:durableId="14813330">
    <w:abstractNumId w:val="4"/>
  </w:num>
  <w:num w:numId="44" w16cid:durableId="507525297">
    <w:abstractNumId w:val="11"/>
  </w:num>
  <w:num w:numId="45" w16cid:durableId="1733696734">
    <w:abstractNumId w:val="21"/>
  </w:num>
  <w:num w:numId="46" w16cid:durableId="89009804">
    <w:abstractNumId w:val="34"/>
  </w:num>
  <w:num w:numId="47" w16cid:durableId="669141257">
    <w:abstractNumId w:val="59"/>
  </w:num>
  <w:num w:numId="48" w16cid:durableId="443307824">
    <w:abstractNumId w:val="1"/>
  </w:num>
  <w:num w:numId="49" w16cid:durableId="1930459349">
    <w:abstractNumId w:val="56"/>
  </w:num>
  <w:num w:numId="50" w16cid:durableId="1418864604">
    <w:abstractNumId w:val="40"/>
  </w:num>
  <w:num w:numId="51" w16cid:durableId="2100373294">
    <w:abstractNumId w:val="28"/>
  </w:num>
  <w:num w:numId="52" w16cid:durableId="1486512061">
    <w:abstractNumId w:val="18"/>
  </w:num>
  <w:num w:numId="53" w16cid:durableId="2039038851">
    <w:abstractNumId w:val="30"/>
  </w:num>
  <w:num w:numId="54" w16cid:durableId="1927230112">
    <w:abstractNumId w:val="61"/>
  </w:num>
  <w:num w:numId="55" w16cid:durableId="623315586">
    <w:abstractNumId w:val="53"/>
  </w:num>
  <w:num w:numId="56" w16cid:durableId="1586106295">
    <w:abstractNumId w:val="6"/>
  </w:num>
  <w:num w:numId="57" w16cid:durableId="1697079166">
    <w:abstractNumId w:val="17"/>
  </w:num>
  <w:num w:numId="58" w16cid:durableId="1732340115">
    <w:abstractNumId w:val="70"/>
  </w:num>
  <w:num w:numId="59" w16cid:durableId="2132673180">
    <w:abstractNumId w:val="23"/>
  </w:num>
  <w:num w:numId="60" w16cid:durableId="1646658818">
    <w:abstractNumId w:val="13"/>
  </w:num>
  <w:num w:numId="61" w16cid:durableId="942958961">
    <w:abstractNumId w:val="51"/>
  </w:num>
  <w:num w:numId="62" w16cid:durableId="1469125839">
    <w:abstractNumId w:val="9"/>
  </w:num>
  <w:num w:numId="63" w16cid:durableId="363868785">
    <w:abstractNumId w:val="43"/>
  </w:num>
  <w:num w:numId="64" w16cid:durableId="1285500670">
    <w:abstractNumId w:val="8"/>
  </w:num>
  <w:num w:numId="65" w16cid:durableId="408161676">
    <w:abstractNumId w:val="65"/>
  </w:num>
  <w:num w:numId="66" w16cid:durableId="1288512944">
    <w:abstractNumId w:val="7"/>
  </w:num>
  <w:num w:numId="67" w16cid:durableId="1327249999">
    <w:abstractNumId w:val="25"/>
  </w:num>
  <w:num w:numId="68" w16cid:durableId="1803571778">
    <w:abstractNumId w:val="57"/>
  </w:num>
  <w:num w:numId="69" w16cid:durableId="642270054">
    <w:abstractNumId w:val="45"/>
  </w:num>
  <w:num w:numId="70" w16cid:durableId="1567690172">
    <w:abstractNumId w:val="38"/>
  </w:num>
  <w:num w:numId="71" w16cid:durableId="1192499794">
    <w:abstractNumId w:val="60"/>
  </w:num>
  <w:num w:numId="72" w16cid:durableId="248849496">
    <w:abstractNumId w:val="1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C1D"/>
    <w:rsid w:val="00007D50"/>
    <w:rsid w:val="0001283E"/>
    <w:rsid w:val="00026E29"/>
    <w:rsid w:val="0004548D"/>
    <w:rsid w:val="000533A8"/>
    <w:rsid w:val="00075F2B"/>
    <w:rsid w:val="00081F6A"/>
    <w:rsid w:val="000A633D"/>
    <w:rsid w:val="000C3E7D"/>
    <w:rsid w:val="000C52A6"/>
    <w:rsid w:val="000D06C1"/>
    <w:rsid w:val="00114DDD"/>
    <w:rsid w:val="00120221"/>
    <w:rsid w:val="001377BA"/>
    <w:rsid w:val="00137A90"/>
    <w:rsid w:val="00140CCD"/>
    <w:rsid w:val="00141428"/>
    <w:rsid w:val="00142C08"/>
    <w:rsid w:val="00142C2D"/>
    <w:rsid w:val="001459D0"/>
    <w:rsid w:val="00156892"/>
    <w:rsid w:val="00160D6D"/>
    <w:rsid w:val="0017089D"/>
    <w:rsid w:val="001904D6"/>
    <w:rsid w:val="00191C5C"/>
    <w:rsid w:val="001A2AF8"/>
    <w:rsid w:val="001C35FE"/>
    <w:rsid w:val="0020487E"/>
    <w:rsid w:val="00205252"/>
    <w:rsid w:val="00221EC5"/>
    <w:rsid w:val="00240460"/>
    <w:rsid w:val="00247ABF"/>
    <w:rsid w:val="0025212B"/>
    <w:rsid w:val="00284544"/>
    <w:rsid w:val="002E5C80"/>
    <w:rsid w:val="00316452"/>
    <w:rsid w:val="00325798"/>
    <w:rsid w:val="0033786A"/>
    <w:rsid w:val="003609FE"/>
    <w:rsid w:val="003B5D62"/>
    <w:rsid w:val="003E2124"/>
    <w:rsid w:val="003F448D"/>
    <w:rsid w:val="00401B90"/>
    <w:rsid w:val="004148E8"/>
    <w:rsid w:val="004370E2"/>
    <w:rsid w:val="0046771C"/>
    <w:rsid w:val="0047678A"/>
    <w:rsid w:val="0048532C"/>
    <w:rsid w:val="004861D2"/>
    <w:rsid w:val="004876F3"/>
    <w:rsid w:val="004B0C29"/>
    <w:rsid w:val="004B69F0"/>
    <w:rsid w:val="004E0309"/>
    <w:rsid w:val="004E15AD"/>
    <w:rsid w:val="00506074"/>
    <w:rsid w:val="00543FD6"/>
    <w:rsid w:val="00561942"/>
    <w:rsid w:val="005835E0"/>
    <w:rsid w:val="005935F2"/>
    <w:rsid w:val="005963DE"/>
    <w:rsid w:val="005B7C7D"/>
    <w:rsid w:val="005C5F51"/>
    <w:rsid w:val="005E09C2"/>
    <w:rsid w:val="005F4B0B"/>
    <w:rsid w:val="00601336"/>
    <w:rsid w:val="00605C66"/>
    <w:rsid w:val="00613EA3"/>
    <w:rsid w:val="00617045"/>
    <w:rsid w:val="006477F3"/>
    <w:rsid w:val="00651BB4"/>
    <w:rsid w:val="0066263B"/>
    <w:rsid w:val="0069424C"/>
    <w:rsid w:val="006A4F02"/>
    <w:rsid w:val="006A7C9E"/>
    <w:rsid w:val="006E2CC5"/>
    <w:rsid w:val="006E7589"/>
    <w:rsid w:val="006E7B3C"/>
    <w:rsid w:val="007103CE"/>
    <w:rsid w:val="007122D3"/>
    <w:rsid w:val="00714D59"/>
    <w:rsid w:val="0074731E"/>
    <w:rsid w:val="0076499B"/>
    <w:rsid w:val="00774B26"/>
    <w:rsid w:val="007774B4"/>
    <w:rsid w:val="0078461B"/>
    <w:rsid w:val="007A1340"/>
    <w:rsid w:val="007B3540"/>
    <w:rsid w:val="007C1D79"/>
    <w:rsid w:val="007D6972"/>
    <w:rsid w:val="00811D9F"/>
    <w:rsid w:val="00833D45"/>
    <w:rsid w:val="00854228"/>
    <w:rsid w:val="00860F5E"/>
    <w:rsid w:val="00870D0D"/>
    <w:rsid w:val="0087723D"/>
    <w:rsid w:val="008C1605"/>
    <w:rsid w:val="008C23C9"/>
    <w:rsid w:val="008E3E62"/>
    <w:rsid w:val="00913B29"/>
    <w:rsid w:val="0092747B"/>
    <w:rsid w:val="0093046E"/>
    <w:rsid w:val="00966E41"/>
    <w:rsid w:val="009744E1"/>
    <w:rsid w:val="009D115E"/>
    <w:rsid w:val="009D7E6E"/>
    <w:rsid w:val="009E4184"/>
    <w:rsid w:val="00A01483"/>
    <w:rsid w:val="00A1277F"/>
    <w:rsid w:val="00A65BDB"/>
    <w:rsid w:val="00A71DFF"/>
    <w:rsid w:val="00A739BD"/>
    <w:rsid w:val="00A74687"/>
    <w:rsid w:val="00A75C06"/>
    <w:rsid w:val="00A836A5"/>
    <w:rsid w:val="00AB7895"/>
    <w:rsid w:val="00AC7153"/>
    <w:rsid w:val="00AD2BB2"/>
    <w:rsid w:val="00AE54E0"/>
    <w:rsid w:val="00AF3F06"/>
    <w:rsid w:val="00B04BB6"/>
    <w:rsid w:val="00B05142"/>
    <w:rsid w:val="00B110F0"/>
    <w:rsid w:val="00B34325"/>
    <w:rsid w:val="00B4735F"/>
    <w:rsid w:val="00B82F90"/>
    <w:rsid w:val="00B9773D"/>
    <w:rsid w:val="00BB024E"/>
    <w:rsid w:val="00BB3B7F"/>
    <w:rsid w:val="00BB4DA6"/>
    <w:rsid w:val="00BB7ADC"/>
    <w:rsid w:val="00BE0FC7"/>
    <w:rsid w:val="00BE6DCE"/>
    <w:rsid w:val="00C2636E"/>
    <w:rsid w:val="00C27030"/>
    <w:rsid w:val="00C62F94"/>
    <w:rsid w:val="00C71490"/>
    <w:rsid w:val="00C91178"/>
    <w:rsid w:val="00CA4AF6"/>
    <w:rsid w:val="00CB6FAD"/>
    <w:rsid w:val="00CE709D"/>
    <w:rsid w:val="00D15FE6"/>
    <w:rsid w:val="00D41487"/>
    <w:rsid w:val="00D441B3"/>
    <w:rsid w:val="00D84CE8"/>
    <w:rsid w:val="00D8783A"/>
    <w:rsid w:val="00D951E2"/>
    <w:rsid w:val="00DA6459"/>
    <w:rsid w:val="00DB09C5"/>
    <w:rsid w:val="00DB4C1D"/>
    <w:rsid w:val="00DB7B74"/>
    <w:rsid w:val="00DC6DFA"/>
    <w:rsid w:val="00E240A6"/>
    <w:rsid w:val="00E27906"/>
    <w:rsid w:val="00E45C80"/>
    <w:rsid w:val="00E54692"/>
    <w:rsid w:val="00E74959"/>
    <w:rsid w:val="00E93E97"/>
    <w:rsid w:val="00E9548C"/>
    <w:rsid w:val="00E9791D"/>
    <w:rsid w:val="00EC31DE"/>
    <w:rsid w:val="00ED2B68"/>
    <w:rsid w:val="00ED62B7"/>
    <w:rsid w:val="00EE391A"/>
    <w:rsid w:val="00EF4D3F"/>
    <w:rsid w:val="00EF7CDE"/>
    <w:rsid w:val="00F120B2"/>
    <w:rsid w:val="00F24AE6"/>
    <w:rsid w:val="00F30732"/>
    <w:rsid w:val="00F34C66"/>
    <w:rsid w:val="00F46C90"/>
    <w:rsid w:val="00F55804"/>
    <w:rsid w:val="00F70375"/>
    <w:rsid w:val="00F70785"/>
    <w:rsid w:val="00F76B47"/>
    <w:rsid w:val="00FA76F0"/>
    <w:rsid w:val="00FB209E"/>
    <w:rsid w:val="00FC492B"/>
    <w:rsid w:val="00FD2B2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2C4B6B"/>
  <w15:docId w15:val="{825A8A18-03B4-4718-B83C-E87151EA2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6459"/>
  </w:style>
  <w:style w:type="paragraph" w:styleId="Titolo1">
    <w:name w:val="heading 1"/>
    <w:basedOn w:val="Normale"/>
    <w:next w:val="Normale"/>
    <w:link w:val="Titolo1Carattere"/>
    <w:uiPriority w:val="9"/>
    <w:qFormat/>
    <w:rsid w:val="00E45C8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C7149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link w:val="Titolo3Carattere"/>
    <w:uiPriority w:val="9"/>
    <w:unhideWhenUsed/>
    <w:qFormat/>
    <w:rsid w:val="00774B26"/>
    <w:pPr>
      <w:widowControl w:val="0"/>
      <w:autoSpaceDE w:val="0"/>
      <w:autoSpaceDN w:val="0"/>
      <w:ind w:left="428"/>
      <w:jc w:val="both"/>
      <w:outlineLvl w:val="2"/>
    </w:pPr>
    <w:rPr>
      <w:rFonts w:ascii="Times New Roman" w:eastAsia="Times New Roman" w:hAnsi="Times New Roman" w:cs="Times New Roman"/>
      <w:b/>
      <w:bCs/>
      <w:lang w:eastAsia="en-US"/>
    </w:rPr>
  </w:style>
  <w:style w:type="paragraph" w:styleId="Titolo4">
    <w:name w:val="heading 4"/>
    <w:basedOn w:val="Normale"/>
    <w:next w:val="Normale"/>
    <w:link w:val="Titolo4Carattere"/>
    <w:uiPriority w:val="9"/>
    <w:semiHidden/>
    <w:unhideWhenUsed/>
    <w:qFormat/>
    <w:rsid w:val="005935F2"/>
    <w:pPr>
      <w:keepNext/>
      <w:keepLines/>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0C3E7D"/>
    <w:pPr>
      <w:keepNext/>
      <w:keepLines/>
      <w:spacing w:before="40"/>
      <w:outlineLvl w:val="4"/>
    </w:pPr>
    <w:rPr>
      <w:rFonts w:asciiTheme="majorHAnsi" w:eastAsiaTheme="majorEastAsia" w:hAnsiTheme="majorHAnsi" w:cstheme="majorBidi"/>
      <w:color w:val="365F91" w:themeColor="accent1" w:themeShade="BF"/>
    </w:rPr>
  </w:style>
  <w:style w:type="paragraph" w:styleId="Titolo7">
    <w:name w:val="heading 7"/>
    <w:basedOn w:val="Normale"/>
    <w:next w:val="Normale"/>
    <w:link w:val="Titolo7Carattere"/>
    <w:uiPriority w:val="9"/>
    <w:semiHidden/>
    <w:unhideWhenUsed/>
    <w:qFormat/>
    <w:rsid w:val="00007D50"/>
    <w:pPr>
      <w:keepNext/>
      <w:keepLines/>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0D06C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0C3E7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6771C"/>
    <w:pPr>
      <w:tabs>
        <w:tab w:val="center" w:pos="4819"/>
        <w:tab w:val="right" w:pos="9638"/>
      </w:tabs>
    </w:pPr>
  </w:style>
  <w:style w:type="character" w:customStyle="1" w:styleId="IntestazioneCarattere">
    <w:name w:val="Intestazione Carattere"/>
    <w:basedOn w:val="Carpredefinitoparagrafo"/>
    <w:link w:val="Intestazione"/>
    <w:uiPriority w:val="99"/>
    <w:rsid w:val="0046771C"/>
  </w:style>
  <w:style w:type="paragraph" w:styleId="Pidipagina">
    <w:name w:val="footer"/>
    <w:basedOn w:val="Normale"/>
    <w:link w:val="PidipaginaCarattere"/>
    <w:uiPriority w:val="99"/>
    <w:unhideWhenUsed/>
    <w:rsid w:val="0046771C"/>
    <w:pPr>
      <w:tabs>
        <w:tab w:val="center" w:pos="4819"/>
        <w:tab w:val="right" w:pos="9638"/>
      </w:tabs>
    </w:pPr>
  </w:style>
  <w:style w:type="character" w:customStyle="1" w:styleId="PidipaginaCarattere">
    <w:name w:val="Piè di pagina Carattere"/>
    <w:basedOn w:val="Carpredefinitoparagrafo"/>
    <w:link w:val="Pidipagina"/>
    <w:uiPriority w:val="99"/>
    <w:rsid w:val="0046771C"/>
  </w:style>
  <w:style w:type="paragraph" w:styleId="Testofumetto">
    <w:name w:val="Balloon Text"/>
    <w:basedOn w:val="Normale"/>
    <w:link w:val="TestofumettoCarattere"/>
    <w:uiPriority w:val="99"/>
    <w:semiHidden/>
    <w:unhideWhenUsed/>
    <w:rsid w:val="0046771C"/>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6771C"/>
    <w:rPr>
      <w:rFonts w:ascii="Lucida Grande" w:hAnsi="Lucida Grande" w:cs="Lucida Grande"/>
      <w:sz w:val="18"/>
      <w:szCs w:val="18"/>
    </w:rPr>
  </w:style>
  <w:style w:type="character" w:styleId="Collegamentoipertestuale">
    <w:name w:val="Hyperlink"/>
    <w:basedOn w:val="Carpredefinitoparagrafo"/>
    <w:uiPriority w:val="99"/>
    <w:unhideWhenUsed/>
    <w:rsid w:val="0046771C"/>
    <w:rPr>
      <w:color w:val="0000FF" w:themeColor="hyperlink"/>
      <w:u w:val="single"/>
    </w:rPr>
  </w:style>
  <w:style w:type="paragraph" w:customStyle="1" w:styleId="Normale1">
    <w:name w:val="Normale1"/>
    <w:uiPriority w:val="99"/>
    <w:rsid w:val="0046771C"/>
    <w:rPr>
      <w:rFonts w:ascii="Times New Roman" w:eastAsia="Times New Roman" w:hAnsi="Times New Roman" w:cs="Times New Roman"/>
      <w:sz w:val="20"/>
      <w:szCs w:val="20"/>
      <w:lang w:eastAsia="it-IT"/>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1"/>
    <w:qFormat/>
    <w:rsid w:val="0046771C"/>
    <w:pPr>
      <w:ind w:left="720"/>
      <w:contextualSpacing/>
    </w:pPr>
  </w:style>
  <w:style w:type="character" w:styleId="Menzionenonrisolta">
    <w:name w:val="Unresolved Mention"/>
    <w:basedOn w:val="Carpredefinitoparagrafo"/>
    <w:uiPriority w:val="99"/>
    <w:semiHidden/>
    <w:unhideWhenUsed/>
    <w:rsid w:val="007122D3"/>
    <w:rPr>
      <w:color w:val="605E5C"/>
      <w:shd w:val="clear" w:color="auto" w:fill="E1DFDD"/>
    </w:rPr>
  </w:style>
  <w:style w:type="table" w:styleId="Grigliatabella">
    <w:name w:val="Table Grid"/>
    <w:basedOn w:val="Tabellanormale"/>
    <w:uiPriority w:val="59"/>
    <w:rsid w:val="00C26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5835E0"/>
  </w:style>
  <w:style w:type="character" w:customStyle="1" w:styleId="Titolo3Carattere">
    <w:name w:val="Titolo 3 Carattere"/>
    <w:basedOn w:val="Carpredefinitoparagrafo"/>
    <w:link w:val="Titolo3"/>
    <w:uiPriority w:val="9"/>
    <w:rsid w:val="00774B26"/>
    <w:rPr>
      <w:rFonts w:ascii="Times New Roman" w:eastAsia="Times New Roman" w:hAnsi="Times New Roman" w:cs="Times New Roman"/>
      <w:b/>
      <w:bCs/>
      <w:lang w:eastAsia="en-US"/>
    </w:rPr>
  </w:style>
  <w:style w:type="paragraph" w:styleId="Corpotesto">
    <w:name w:val="Body Text"/>
    <w:basedOn w:val="Normale"/>
    <w:link w:val="CorpotestoCarattere"/>
    <w:uiPriority w:val="1"/>
    <w:qFormat/>
    <w:rsid w:val="00774B26"/>
    <w:pPr>
      <w:widowControl w:val="0"/>
      <w:autoSpaceDE w:val="0"/>
      <w:autoSpaceDN w:val="0"/>
      <w:ind w:left="428"/>
      <w:jc w:val="both"/>
    </w:pPr>
    <w:rPr>
      <w:rFonts w:ascii="Times New Roman" w:eastAsia="Times New Roman" w:hAnsi="Times New Roman" w:cs="Times New Roman"/>
      <w:lang w:eastAsia="en-US"/>
    </w:rPr>
  </w:style>
  <w:style w:type="character" w:customStyle="1" w:styleId="CorpotestoCarattere">
    <w:name w:val="Corpo testo Carattere"/>
    <w:basedOn w:val="Carpredefinitoparagrafo"/>
    <w:link w:val="Corpotesto"/>
    <w:uiPriority w:val="1"/>
    <w:rsid w:val="00774B26"/>
    <w:rPr>
      <w:rFonts w:ascii="Times New Roman" w:eastAsia="Times New Roman" w:hAnsi="Times New Roman" w:cs="Times New Roman"/>
      <w:lang w:eastAsia="en-US"/>
    </w:rPr>
  </w:style>
  <w:style w:type="paragraph" w:customStyle="1" w:styleId="Default">
    <w:name w:val="Default"/>
    <w:rsid w:val="00774B26"/>
    <w:pPr>
      <w:autoSpaceDE w:val="0"/>
      <w:autoSpaceDN w:val="0"/>
      <w:adjustRightInd w:val="0"/>
    </w:pPr>
    <w:rPr>
      <w:rFonts w:ascii="Garamond" w:eastAsia="Times New Roman" w:hAnsi="Garamond" w:cs="Garamond"/>
      <w:color w:val="000000"/>
      <w:lang w:eastAsia="it-IT"/>
    </w:rPr>
  </w:style>
  <w:style w:type="table" w:customStyle="1" w:styleId="TableNormal">
    <w:name w:val="Table Normal"/>
    <w:uiPriority w:val="2"/>
    <w:semiHidden/>
    <w:unhideWhenUsed/>
    <w:qFormat/>
    <w:rsid w:val="00191C5C"/>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91C5C"/>
    <w:pPr>
      <w:widowControl w:val="0"/>
      <w:autoSpaceDE w:val="0"/>
      <w:autoSpaceDN w:val="0"/>
      <w:ind w:left="13"/>
    </w:pPr>
    <w:rPr>
      <w:rFonts w:ascii="Times New Roman" w:eastAsia="Times New Roman" w:hAnsi="Times New Roman" w:cs="Times New Roman"/>
      <w:sz w:val="22"/>
      <w:szCs w:val="22"/>
      <w:lang w:eastAsia="en-US"/>
    </w:rPr>
  </w:style>
  <w:style w:type="character" w:customStyle="1" w:styleId="Titolo2Carattere">
    <w:name w:val="Titolo 2 Carattere"/>
    <w:basedOn w:val="Carpredefinitoparagrafo"/>
    <w:link w:val="Titolo2"/>
    <w:uiPriority w:val="9"/>
    <w:semiHidden/>
    <w:rsid w:val="00C71490"/>
    <w:rPr>
      <w:rFonts w:asciiTheme="majorHAnsi" w:eastAsiaTheme="majorEastAsia" w:hAnsiTheme="majorHAnsi" w:cstheme="majorBidi"/>
      <w:color w:val="365F91" w:themeColor="accent1" w:themeShade="BF"/>
      <w:sz w:val="26"/>
      <w:szCs w:val="26"/>
    </w:rPr>
  </w:style>
  <w:style w:type="character" w:customStyle="1" w:styleId="WWCharLFO14LVL1">
    <w:name w:val="WW_CharLFO14LVL1"/>
    <w:rsid w:val="000533A8"/>
    <w:rPr>
      <w:rFonts w:ascii="Symbol" w:hAnsi="Symbol"/>
    </w:rPr>
  </w:style>
  <w:style w:type="character" w:customStyle="1" w:styleId="Titolo1Carattere">
    <w:name w:val="Titolo 1 Carattere"/>
    <w:basedOn w:val="Carpredefinitoparagrafo"/>
    <w:link w:val="Titolo1"/>
    <w:uiPriority w:val="9"/>
    <w:rsid w:val="00E45C80"/>
    <w:rPr>
      <w:rFonts w:asciiTheme="majorHAnsi" w:eastAsiaTheme="majorEastAsia" w:hAnsiTheme="majorHAnsi" w:cstheme="majorBidi"/>
      <w:color w:val="365F91" w:themeColor="accent1" w:themeShade="BF"/>
      <w:sz w:val="32"/>
      <w:szCs w:val="32"/>
    </w:rPr>
  </w:style>
  <w:style w:type="character" w:customStyle="1" w:styleId="Titolo7Carattere">
    <w:name w:val="Titolo 7 Carattere"/>
    <w:basedOn w:val="Carpredefinitoparagrafo"/>
    <w:link w:val="Titolo7"/>
    <w:uiPriority w:val="9"/>
    <w:semiHidden/>
    <w:rsid w:val="00007D50"/>
    <w:rPr>
      <w:rFonts w:asciiTheme="majorHAnsi" w:eastAsiaTheme="majorEastAsia" w:hAnsiTheme="majorHAnsi" w:cstheme="majorBidi"/>
      <w:i/>
      <w:iCs/>
      <w:color w:val="243F60" w:themeColor="accent1" w:themeShade="7F"/>
    </w:rPr>
  </w:style>
  <w:style w:type="character" w:customStyle="1" w:styleId="Titolo8Carattere">
    <w:name w:val="Titolo 8 Carattere"/>
    <w:basedOn w:val="Carpredefinitoparagrafo"/>
    <w:link w:val="Titolo8"/>
    <w:uiPriority w:val="9"/>
    <w:semiHidden/>
    <w:rsid w:val="000D06C1"/>
    <w:rPr>
      <w:rFonts w:asciiTheme="majorHAnsi" w:eastAsiaTheme="majorEastAsia" w:hAnsiTheme="majorHAnsi" w:cstheme="majorBidi"/>
      <w:color w:val="272727" w:themeColor="text1" w:themeTint="D8"/>
      <w:sz w:val="21"/>
      <w:szCs w:val="21"/>
    </w:rPr>
  </w:style>
  <w:style w:type="paragraph" w:styleId="Testonotaapidipagina">
    <w:name w:val="footnote text"/>
    <w:basedOn w:val="Normale"/>
    <w:link w:val="TestonotaapidipaginaCarattere"/>
    <w:uiPriority w:val="99"/>
    <w:semiHidden/>
    <w:unhideWhenUsed/>
    <w:rsid w:val="00D84CE8"/>
    <w:rPr>
      <w:sz w:val="20"/>
      <w:szCs w:val="20"/>
    </w:rPr>
  </w:style>
  <w:style w:type="character" w:customStyle="1" w:styleId="TestonotaapidipaginaCarattere">
    <w:name w:val="Testo nota a piè di pagina Carattere"/>
    <w:basedOn w:val="Carpredefinitoparagrafo"/>
    <w:link w:val="Testonotaapidipagina"/>
    <w:uiPriority w:val="99"/>
    <w:semiHidden/>
    <w:rsid w:val="00D84CE8"/>
    <w:rPr>
      <w:sz w:val="20"/>
      <w:szCs w:val="20"/>
    </w:rPr>
  </w:style>
  <w:style w:type="character" w:styleId="Rimandonotaapidipagina">
    <w:name w:val="footnote reference"/>
    <w:basedOn w:val="Carpredefinitoparagrafo"/>
    <w:uiPriority w:val="99"/>
    <w:semiHidden/>
    <w:unhideWhenUsed/>
    <w:rsid w:val="00D84CE8"/>
    <w:rPr>
      <w:vertAlign w:val="superscript"/>
    </w:rPr>
  </w:style>
  <w:style w:type="character" w:customStyle="1" w:styleId="Titolo5Carattere">
    <w:name w:val="Titolo 5 Carattere"/>
    <w:basedOn w:val="Carpredefinitoparagrafo"/>
    <w:link w:val="Titolo5"/>
    <w:uiPriority w:val="9"/>
    <w:semiHidden/>
    <w:rsid w:val="000C3E7D"/>
    <w:rPr>
      <w:rFonts w:asciiTheme="majorHAnsi" w:eastAsiaTheme="majorEastAsia" w:hAnsiTheme="majorHAnsi" w:cstheme="majorBidi"/>
      <w:color w:val="365F91" w:themeColor="accent1" w:themeShade="BF"/>
    </w:rPr>
  </w:style>
  <w:style w:type="character" w:customStyle="1" w:styleId="Titolo9Carattere">
    <w:name w:val="Titolo 9 Carattere"/>
    <w:basedOn w:val="Carpredefinitoparagrafo"/>
    <w:link w:val="Titolo9"/>
    <w:uiPriority w:val="9"/>
    <w:semiHidden/>
    <w:rsid w:val="000C3E7D"/>
    <w:rPr>
      <w:rFonts w:asciiTheme="majorHAnsi" w:eastAsiaTheme="majorEastAsia" w:hAnsiTheme="majorHAnsi" w:cstheme="majorBidi"/>
      <w:i/>
      <w:iCs/>
      <w:color w:val="272727" w:themeColor="text1" w:themeTint="D8"/>
      <w:sz w:val="21"/>
      <w:szCs w:val="21"/>
    </w:rPr>
  </w:style>
  <w:style w:type="character" w:customStyle="1" w:styleId="Titolo4Carattere">
    <w:name w:val="Titolo 4 Carattere"/>
    <w:basedOn w:val="Carpredefinitoparagrafo"/>
    <w:link w:val="Titolo4"/>
    <w:uiPriority w:val="9"/>
    <w:semiHidden/>
    <w:rsid w:val="005935F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422898">
      <w:bodyDiv w:val="1"/>
      <w:marLeft w:val="0"/>
      <w:marRight w:val="0"/>
      <w:marTop w:val="0"/>
      <w:marBottom w:val="0"/>
      <w:divBdr>
        <w:top w:val="none" w:sz="0" w:space="0" w:color="auto"/>
        <w:left w:val="none" w:sz="0" w:space="0" w:color="auto"/>
        <w:bottom w:val="none" w:sz="0" w:space="0" w:color="auto"/>
        <w:right w:val="none" w:sz="0" w:space="0" w:color="auto"/>
      </w:divBdr>
    </w:div>
    <w:div w:id="792141249">
      <w:bodyDiv w:val="1"/>
      <w:marLeft w:val="0"/>
      <w:marRight w:val="0"/>
      <w:marTop w:val="0"/>
      <w:marBottom w:val="0"/>
      <w:divBdr>
        <w:top w:val="none" w:sz="0" w:space="0" w:color="auto"/>
        <w:left w:val="none" w:sz="0" w:space="0" w:color="auto"/>
        <w:bottom w:val="none" w:sz="0" w:space="0" w:color="auto"/>
        <w:right w:val="none" w:sz="0" w:space="0" w:color="auto"/>
      </w:divBdr>
    </w:div>
    <w:div w:id="889346135">
      <w:bodyDiv w:val="1"/>
      <w:marLeft w:val="0"/>
      <w:marRight w:val="0"/>
      <w:marTop w:val="0"/>
      <w:marBottom w:val="0"/>
      <w:divBdr>
        <w:top w:val="none" w:sz="0" w:space="0" w:color="auto"/>
        <w:left w:val="none" w:sz="0" w:space="0" w:color="auto"/>
        <w:bottom w:val="none" w:sz="0" w:space="0" w:color="auto"/>
        <w:right w:val="none" w:sz="0" w:space="0" w:color="auto"/>
      </w:divBdr>
    </w:div>
    <w:div w:id="1106655674">
      <w:bodyDiv w:val="1"/>
      <w:marLeft w:val="0"/>
      <w:marRight w:val="0"/>
      <w:marTop w:val="0"/>
      <w:marBottom w:val="0"/>
      <w:divBdr>
        <w:top w:val="none" w:sz="0" w:space="0" w:color="auto"/>
        <w:left w:val="none" w:sz="0" w:space="0" w:color="auto"/>
        <w:bottom w:val="none" w:sz="0" w:space="0" w:color="auto"/>
        <w:right w:val="none" w:sz="0" w:space="0" w:color="auto"/>
      </w:divBdr>
    </w:div>
    <w:div w:id="2069380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iaspa.it/" TargetMode="External"/><Relationship Id="rId18" Type="http://schemas.openxmlformats.org/officeDocument/2006/relationships/hyperlink" Target="http://www.bancaditalia.it/compiti/vigilanza/intermediari/index.html" TargetMode="External"/><Relationship Id="rId26" Type="http://schemas.openxmlformats.org/officeDocument/2006/relationships/hyperlink" Target="http://www.tarbrescia.it" TargetMode="External"/><Relationship Id="rId3" Type="http://schemas.openxmlformats.org/officeDocument/2006/relationships/numbering" Target="numbering.xml"/><Relationship Id="rId21" Type="http://schemas.openxmlformats.org/officeDocument/2006/relationships/hyperlink" Target="mailto:c.sanfelici@comune.casalmaggiore.cr.it" TargetMode="External"/><Relationship Id="rId7" Type="http://schemas.openxmlformats.org/officeDocument/2006/relationships/footnotes" Target="footnotes.xml"/><Relationship Id="rId12" Type="http://schemas.openxmlformats.org/officeDocument/2006/relationships/hyperlink" Target="https://www.sintel.regione.lombardia.it/eprocdata/auctionDetail.xhtml?id=200185555" TargetMode="External"/><Relationship Id="rId17" Type="http://schemas.openxmlformats.org/officeDocument/2006/relationships/hyperlink" Target="mailto:supportoacquistipa@ariaspa.it" TargetMode="External"/><Relationship Id="rId25" Type="http://schemas.openxmlformats.org/officeDocument/2006/relationships/hyperlink" Target="mailto:tarbrescia@tarbrescia.it" TargetMode="External"/><Relationship Id="rId2" Type="http://schemas.openxmlformats.org/officeDocument/2006/relationships/customXml" Target="../customXml/item2.xml"/><Relationship Id="rId16" Type="http://schemas.openxmlformats.org/officeDocument/2006/relationships/hyperlink" Target="http://www.ariaspa.it/" TargetMode="External"/><Relationship Id="rId20" Type="http://schemas.openxmlformats.org/officeDocument/2006/relationships/hyperlink" Target="http://www.ivass.it/ivass/imprese_jsp/HomePage.js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fm.casalmaggiore@gmail.com" TargetMode="External"/><Relationship Id="rId24"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mailto:supportoacquistipa@ariaspa.it" TargetMode="External"/><Relationship Id="rId23" Type="http://schemas.openxmlformats.org/officeDocument/2006/relationships/hyperlink" Target="https://www.ariaspa.it/wps/wcm/connect/0ab83d12-c3f1-4cba-b88c-f4c844d6a498/eDGUE-Creazione+manuale+1.2+Response.pdf?MOD=AJPERES&amp;CACHEID=ROOTWORKSPACE-0ab83d12-c3f1-4cba-b88c-f4c844d6a498-pnYonXL" TargetMode="External"/><Relationship Id="rId28" Type="http://schemas.openxmlformats.org/officeDocument/2006/relationships/footer" Target="footer1.xml"/><Relationship Id="rId10" Type="http://schemas.openxmlformats.org/officeDocument/2006/relationships/hyperlink" Target="mailto:farmacia.casalmaggiore@legalmail.it" TargetMode="External"/><Relationship Id="rId19" Type="http://schemas.openxmlformats.org/officeDocument/2006/relationships/hyperlink" Target="http://www.bancaditalia.it/compiti/vigilanza/avvisi-pub/garanzie-finanziarie/" TargetMode="External"/><Relationship Id="rId4" Type="http://schemas.openxmlformats.org/officeDocument/2006/relationships/styles" Target="styles.xml"/><Relationship Id="rId9" Type="http://schemas.openxmlformats.org/officeDocument/2006/relationships/hyperlink" Target="http://www.afmcasalmaggiore.it" TargetMode="External"/><Relationship Id="rId14" Type="http://schemas.openxmlformats.org/officeDocument/2006/relationships/hyperlink" Target="http://www.ariaspa.it/" TargetMode="External"/><Relationship Id="rId22" Type="http://schemas.openxmlformats.org/officeDocument/2006/relationships/hyperlink" Target="http://www.ariaspa.it"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CocoaOOXMLWriter/1138.51</generator>
</me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084EF2-F539-A545-8F90-BA27D1F77DBF}">
  <ds:schemaRefs>
    <ds:schemaRef ds:uri="http://schemas.apple.com/cocoa/2006/metadata"/>
  </ds:schemaRefs>
</ds:datastoreItem>
</file>

<file path=customXml/itemProps2.xml><?xml version="1.0" encoding="utf-8"?>
<ds:datastoreItem xmlns:ds="http://schemas.openxmlformats.org/officeDocument/2006/customXml" ds:itemID="{D7DB6F39-BB5B-410D-BE34-EEAFA9E3B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57</Pages>
  <Words>23763</Words>
  <Characters>135453</Characters>
  <Application>Microsoft Office Word</Application>
  <DocSecurity>0</DocSecurity>
  <Lines>1128</Lines>
  <Paragraphs>317</Paragraphs>
  <ScaleCrop>false</ScaleCrop>
  <HeadingPairs>
    <vt:vector size="2" baseType="variant">
      <vt:variant>
        <vt:lpstr>Titolo</vt:lpstr>
      </vt:variant>
      <vt:variant>
        <vt:i4>1</vt:i4>
      </vt:variant>
    </vt:vector>
  </HeadingPairs>
  <TitlesOfParts>
    <vt:vector size="1" baseType="lpstr">
      <vt:lpstr/>
    </vt:vector>
  </TitlesOfParts>
  <Company>j</Company>
  <LinksUpToDate>false</LinksUpToDate>
  <CharactersWithSpaces>158899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Utente05</dc:creator>
  <cp:lastModifiedBy>Ponticelli</cp:lastModifiedBy>
  <cp:revision>5</cp:revision>
  <cp:lastPrinted>2024-11-12T10:06:00Z</cp:lastPrinted>
  <dcterms:created xsi:type="dcterms:W3CDTF">2025-07-04T10:07:00Z</dcterms:created>
  <dcterms:modified xsi:type="dcterms:W3CDTF">2025-07-04T10:19:00Z</dcterms:modified>
</cp:coreProperties>
</file>